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7F" w:rsidRPr="00FC5802" w:rsidRDefault="00FC5802" w:rsidP="00224A51">
      <w:pPr>
        <w:jc w:val="center"/>
        <w:rPr>
          <w:rFonts w:asciiTheme="majorBidi" w:hAnsiTheme="majorBidi" w:cstheme="majorBidi"/>
          <w:b/>
          <w:bCs/>
          <w:color w:val="000000"/>
          <w:sz w:val="32"/>
          <w:szCs w:val="32"/>
        </w:rPr>
      </w:pPr>
      <w:r>
        <w:rPr>
          <w:rFonts w:asciiTheme="majorBidi" w:eastAsia="Times New Roman" w:hAnsiTheme="majorBidi" w:cstheme="majorBidi"/>
          <w:b/>
          <w:bCs/>
          <w:color w:val="000000"/>
          <w:sz w:val="32"/>
          <w:szCs w:val="32"/>
        </w:rPr>
        <w:t>Philadelphia C</w:t>
      </w:r>
      <w:r w:rsidRPr="00FC5802">
        <w:rPr>
          <w:rFonts w:asciiTheme="majorBidi" w:eastAsia="Times New Roman" w:hAnsiTheme="majorBidi" w:cstheme="majorBidi"/>
          <w:b/>
          <w:bCs/>
          <w:color w:val="000000"/>
          <w:sz w:val="32"/>
          <w:szCs w:val="32"/>
        </w:rPr>
        <w:t>hromosome</w:t>
      </w:r>
      <w:r w:rsidR="00E661FB" w:rsidRPr="00FC5802">
        <w:rPr>
          <w:rFonts w:ascii="Times New Roman" w:eastAsia="Calibri" w:hAnsi="Times New Roman" w:cs="Times New Roman"/>
          <w:b/>
          <w:bCs/>
          <w:color w:val="000000"/>
          <w:sz w:val="32"/>
          <w:szCs w:val="32"/>
        </w:rPr>
        <w:t xml:space="preserve"> In Acute Lymphoblastic Leukemia </w:t>
      </w:r>
    </w:p>
    <w:p w:rsidR="00B47FBF" w:rsidRPr="00E14821" w:rsidRDefault="00B47FBF" w:rsidP="00B47FBF">
      <w:pPr>
        <w:tabs>
          <w:tab w:val="right" w:pos="1418"/>
          <w:tab w:val="right" w:pos="1560"/>
        </w:tabs>
        <w:ind w:right="-357"/>
        <w:jc w:val="center"/>
        <w:rPr>
          <w:rFonts w:ascii="Times New Roman" w:eastAsia="Calibri" w:hAnsi="Times New Roman" w:cs="Times New Roman"/>
          <w:b/>
          <w:bCs/>
          <w:i/>
          <w:iCs/>
          <w:vertAlign w:val="superscript"/>
          <w:lang w:bidi="ar-EG"/>
        </w:rPr>
      </w:pPr>
      <w:r w:rsidRPr="00E14821">
        <w:rPr>
          <w:rFonts w:asciiTheme="majorBidi" w:hAnsiTheme="majorBidi" w:cstheme="majorBidi"/>
          <w:b/>
          <w:bCs/>
          <w:i/>
          <w:iCs/>
          <w:lang w:bidi="ar-EG"/>
        </w:rPr>
        <w:t>Dina Adel Fouad phD</w:t>
      </w:r>
      <w:r w:rsidRPr="00E14821">
        <w:rPr>
          <w:rFonts w:asciiTheme="majorBidi" w:hAnsiTheme="majorBidi" w:cstheme="majorBidi"/>
          <w:b/>
          <w:bCs/>
          <w:i/>
          <w:iCs/>
          <w:vertAlign w:val="superscript"/>
          <w:lang w:bidi="ar-EG"/>
        </w:rPr>
        <w:t>1</w:t>
      </w:r>
      <w:r w:rsidRPr="00E14821">
        <w:rPr>
          <w:rFonts w:asciiTheme="majorBidi" w:hAnsiTheme="majorBidi" w:cstheme="majorBidi"/>
          <w:b/>
          <w:bCs/>
          <w:i/>
          <w:iCs/>
          <w:lang w:bidi="ar-EG"/>
        </w:rPr>
        <w:t>,</w:t>
      </w:r>
      <w:r w:rsidRPr="00E14821">
        <w:rPr>
          <w:rFonts w:asciiTheme="majorBidi" w:eastAsia="Calibri" w:hAnsiTheme="majorBidi" w:cstheme="majorBidi"/>
          <w:b/>
          <w:bCs/>
          <w:i/>
          <w:iCs/>
          <w:lang w:bidi="ar-EG"/>
        </w:rPr>
        <w:t xml:space="preserve"> </w:t>
      </w:r>
      <w:r w:rsidRPr="00E14821">
        <w:rPr>
          <w:rFonts w:ascii="Times New Roman" w:eastAsia="Calibri" w:hAnsi="Times New Roman" w:cs="Times New Roman"/>
          <w:b/>
          <w:bCs/>
          <w:i/>
          <w:iCs/>
          <w:lang w:bidi="ar-EG"/>
        </w:rPr>
        <w:t>Hasnaa</w:t>
      </w:r>
      <w:r w:rsidRPr="00E14821">
        <w:rPr>
          <w:rFonts w:asciiTheme="majorBidi" w:eastAsia="Calibri" w:hAnsiTheme="majorBidi" w:cstheme="majorBidi"/>
          <w:b/>
          <w:bCs/>
          <w:i/>
          <w:iCs/>
          <w:lang w:bidi="ar-EG"/>
        </w:rPr>
        <w:t xml:space="preserve"> A</w:t>
      </w:r>
      <w:r w:rsidRPr="00E14821">
        <w:rPr>
          <w:rFonts w:ascii="Times New Roman" w:eastAsia="Calibri" w:hAnsi="Times New Roman" w:cs="Times New Roman"/>
          <w:b/>
          <w:bCs/>
          <w:i/>
          <w:iCs/>
          <w:lang w:bidi="ar-EG"/>
        </w:rPr>
        <w:t xml:space="preserve"> Abo_Elwafa</w:t>
      </w:r>
      <w:r w:rsidRPr="00E14821">
        <w:rPr>
          <w:rFonts w:asciiTheme="majorBidi" w:eastAsia="Calibri" w:hAnsiTheme="majorBidi" w:cstheme="majorBidi"/>
          <w:b/>
          <w:bCs/>
          <w:i/>
          <w:iCs/>
          <w:lang w:bidi="ar-EG"/>
        </w:rPr>
        <w:t xml:space="preserve"> phD</w:t>
      </w:r>
      <w:r w:rsidRPr="00E14821">
        <w:rPr>
          <w:rFonts w:asciiTheme="majorBidi" w:eastAsia="Calibri" w:hAnsiTheme="majorBidi" w:cstheme="majorBidi"/>
          <w:b/>
          <w:bCs/>
          <w:i/>
          <w:iCs/>
          <w:vertAlign w:val="superscript"/>
          <w:lang w:bidi="ar-EG"/>
        </w:rPr>
        <w:t>2</w:t>
      </w:r>
      <w:r w:rsidRPr="00E14821">
        <w:rPr>
          <w:rFonts w:asciiTheme="majorBidi" w:eastAsia="Calibri" w:hAnsiTheme="majorBidi" w:cstheme="majorBidi"/>
          <w:b/>
          <w:bCs/>
          <w:i/>
          <w:iCs/>
          <w:lang w:bidi="ar-EG"/>
        </w:rPr>
        <w:t>, Ahmed Allam MD</w:t>
      </w:r>
      <w:r w:rsidRPr="00E14821">
        <w:rPr>
          <w:rFonts w:asciiTheme="majorBidi" w:eastAsia="Calibri" w:hAnsiTheme="majorBidi" w:cstheme="majorBidi"/>
          <w:b/>
          <w:bCs/>
          <w:i/>
          <w:iCs/>
          <w:vertAlign w:val="superscript"/>
          <w:lang w:bidi="ar-EG"/>
        </w:rPr>
        <w:t>2</w:t>
      </w:r>
      <w:r w:rsidRPr="00E14821">
        <w:rPr>
          <w:rFonts w:asciiTheme="majorBidi" w:eastAsia="Calibri" w:hAnsiTheme="majorBidi" w:cstheme="majorBidi"/>
          <w:b/>
          <w:bCs/>
          <w:i/>
          <w:iCs/>
          <w:lang w:bidi="ar-EG"/>
        </w:rPr>
        <w:t>, Shereen Philip MD</w:t>
      </w:r>
      <w:r w:rsidRPr="00E14821">
        <w:rPr>
          <w:rFonts w:asciiTheme="majorBidi" w:eastAsia="Calibri" w:hAnsiTheme="majorBidi" w:cstheme="majorBidi"/>
          <w:b/>
          <w:bCs/>
          <w:i/>
          <w:iCs/>
          <w:vertAlign w:val="superscript"/>
          <w:lang w:bidi="ar-EG"/>
        </w:rPr>
        <w:t>2</w:t>
      </w:r>
      <w:r w:rsidRPr="00E14821">
        <w:rPr>
          <w:rFonts w:asciiTheme="majorBidi" w:eastAsia="Calibri" w:hAnsiTheme="majorBidi" w:cstheme="majorBidi"/>
          <w:b/>
          <w:bCs/>
          <w:i/>
          <w:iCs/>
          <w:lang w:bidi="ar-EG"/>
        </w:rPr>
        <w:t xml:space="preserve">, </w:t>
      </w:r>
      <w:r w:rsidRPr="00E14821">
        <w:rPr>
          <w:rFonts w:ascii="Times New Roman" w:eastAsia="Calibri" w:hAnsi="Times New Roman" w:cs="Times New Roman"/>
          <w:b/>
          <w:bCs/>
          <w:i/>
          <w:iCs/>
          <w:lang w:bidi="ar-EG"/>
        </w:rPr>
        <w:t>Nesma Mokhtar</w:t>
      </w:r>
      <w:r w:rsidRPr="00E14821">
        <w:rPr>
          <w:rFonts w:asciiTheme="majorBidi" w:eastAsia="Calibri" w:hAnsiTheme="majorBidi" w:cstheme="majorBidi"/>
          <w:b/>
          <w:bCs/>
          <w:i/>
          <w:iCs/>
          <w:lang w:bidi="ar-EG"/>
        </w:rPr>
        <w:t xml:space="preserve"> MSC</w:t>
      </w:r>
      <w:r w:rsidRPr="00E14821">
        <w:rPr>
          <w:rFonts w:asciiTheme="majorBidi" w:eastAsia="Calibri" w:hAnsiTheme="majorBidi" w:cstheme="majorBidi"/>
          <w:b/>
          <w:bCs/>
          <w:i/>
          <w:iCs/>
          <w:vertAlign w:val="superscript"/>
          <w:lang w:bidi="ar-EG"/>
        </w:rPr>
        <w:t>2</w:t>
      </w:r>
    </w:p>
    <w:p w:rsidR="00E14821" w:rsidRPr="00E14821" w:rsidRDefault="00E14821" w:rsidP="00E14821">
      <w:pPr>
        <w:tabs>
          <w:tab w:val="right" w:pos="2410"/>
        </w:tabs>
        <w:jc w:val="center"/>
        <w:rPr>
          <w:rFonts w:ascii="Times New Roman" w:eastAsia="Calibri" w:hAnsi="Times New Roman" w:cs="Times New Roman"/>
          <w:vertAlign w:val="superscript"/>
          <w:lang w:bidi="ar-EG"/>
        </w:rPr>
      </w:pPr>
      <w:r w:rsidRPr="00E14821">
        <w:rPr>
          <w:rFonts w:ascii="Times New Roman" w:eastAsia="Calibri" w:hAnsi="Times New Roman" w:cs="Times New Roman"/>
          <w:lang w:bidi="ar-EG"/>
        </w:rPr>
        <w:t>Clinical Pathology</w:t>
      </w:r>
      <w:r w:rsidRPr="00E14821">
        <w:rPr>
          <w:rFonts w:asciiTheme="majorBidi" w:eastAsia="Calibri" w:hAnsiTheme="majorBidi" w:cstheme="majorBidi"/>
          <w:lang w:bidi="ar-EG"/>
        </w:rPr>
        <w:t xml:space="preserve"> Department </w:t>
      </w:r>
      <w:r w:rsidRPr="00E14821">
        <w:rPr>
          <w:rFonts w:ascii="Times New Roman" w:eastAsia="Calibri" w:hAnsi="Times New Roman" w:cs="Times New Roman"/>
        </w:rPr>
        <w:t>Faculty of Medicine,</w:t>
      </w:r>
      <w:r w:rsidRPr="00E14821">
        <w:rPr>
          <w:rFonts w:ascii="Times New Roman" w:eastAsia="Calibri" w:hAnsi="Times New Roman" w:cs="Times New Roman"/>
          <w:lang w:bidi="ar-EG"/>
        </w:rPr>
        <w:t xml:space="preserve"> Ain Shams University</w:t>
      </w:r>
      <w:r w:rsidRPr="00E14821">
        <w:rPr>
          <w:rFonts w:asciiTheme="majorBidi" w:eastAsia="Calibri" w:hAnsiTheme="majorBidi" w:cstheme="majorBidi"/>
          <w:vertAlign w:val="superscript"/>
          <w:lang w:bidi="ar-EG"/>
        </w:rPr>
        <w:t>1</w:t>
      </w:r>
      <w:r w:rsidRPr="00E14821">
        <w:rPr>
          <w:rFonts w:asciiTheme="majorBidi" w:eastAsia="Calibri" w:hAnsiTheme="majorBidi" w:cstheme="majorBidi"/>
          <w:lang w:bidi="ar-EG"/>
        </w:rPr>
        <w:t xml:space="preserve"> and </w:t>
      </w:r>
      <w:r w:rsidRPr="00E14821">
        <w:rPr>
          <w:rFonts w:ascii="Times New Roman" w:eastAsia="Calibri" w:hAnsi="Times New Roman" w:cs="Times New Roman"/>
        </w:rPr>
        <w:t>Sohag University</w:t>
      </w:r>
      <w:r w:rsidRPr="00E14821">
        <w:rPr>
          <w:rFonts w:asciiTheme="majorBidi" w:eastAsia="Calibri" w:hAnsiTheme="majorBidi" w:cstheme="majorBidi"/>
          <w:vertAlign w:val="superscript"/>
        </w:rPr>
        <w:t>2</w:t>
      </w:r>
    </w:p>
    <w:p w:rsidR="00E14821" w:rsidRDefault="00E14821" w:rsidP="00E14821">
      <w:pPr>
        <w:spacing w:line="240" w:lineRule="auto"/>
        <w:jc w:val="both"/>
        <w:rPr>
          <w:rFonts w:asciiTheme="majorBidi" w:hAnsiTheme="majorBidi" w:cstheme="majorBidi"/>
          <w:b/>
          <w:bCs/>
          <w:sz w:val="28"/>
          <w:szCs w:val="28"/>
        </w:rPr>
        <w:sectPr w:rsidR="00E14821" w:rsidSect="00914994">
          <w:headerReference w:type="default" r:id="rId7"/>
          <w:footerReference w:type="default" r:id="rId8"/>
          <w:headerReference w:type="first" r:id="rId9"/>
          <w:footerReference w:type="first" r:id="rId10"/>
          <w:pgSz w:w="12240" w:h="15840"/>
          <w:pgMar w:top="1440" w:right="1800" w:bottom="1440" w:left="1800" w:header="708" w:footer="708" w:gutter="0"/>
          <w:pgNumType w:start="428"/>
          <w:cols w:space="708"/>
          <w:titlePg/>
          <w:docGrid w:linePitch="360"/>
        </w:sectPr>
      </w:pPr>
    </w:p>
    <w:p w:rsidR="00E661FB" w:rsidRPr="005D05BB" w:rsidRDefault="00E661FB" w:rsidP="005D05BB">
      <w:pPr>
        <w:shd w:val="clear" w:color="auto" w:fill="D9D9D9" w:themeFill="background1" w:themeFillShade="D9"/>
        <w:spacing w:after="0" w:line="240" w:lineRule="auto"/>
        <w:jc w:val="both"/>
        <w:rPr>
          <w:rFonts w:asciiTheme="majorBidi" w:hAnsiTheme="majorBidi" w:cstheme="majorBidi"/>
          <w:b/>
          <w:bCs/>
          <w:sz w:val="28"/>
          <w:szCs w:val="28"/>
        </w:rPr>
      </w:pPr>
      <w:r w:rsidRPr="005D05BB">
        <w:rPr>
          <w:rFonts w:asciiTheme="majorBidi" w:hAnsiTheme="majorBidi" w:cstheme="majorBidi"/>
          <w:b/>
          <w:bCs/>
          <w:sz w:val="28"/>
          <w:szCs w:val="28"/>
        </w:rPr>
        <w:lastRenderedPageBreak/>
        <w:t>Abstract</w:t>
      </w:r>
    </w:p>
    <w:p w:rsidR="00E661FB" w:rsidRPr="00E14821" w:rsidRDefault="00E661FB" w:rsidP="005D05BB">
      <w:pPr>
        <w:shd w:val="clear" w:color="auto" w:fill="D9D9D9" w:themeFill="background1" w:themeFillShade="D9"/>
        <w:spacing w:after="0" w:line="240" w:lineRule="auto"/>
        <w:jc w:val="both"/>
        <w:rPr>
          <w:rFonts w:asciiTheme="majorBidi" w:hAnsiTheme="majorBidi" w:cstheme="majorBidi"/>
          <w:b/>
          <w:bCs/>
        </w:rPr>
      </w:pPr>
      <w:r w:rsidRPr="00E14821">
        <w:rPr>
          <w:rFonts w:asciiTheme="majorBidi" w:hAnsiTheme="majorBidi" w:cstheme="majorBidi"/>
          <w:b/>
          <w:bCs/>
        </w:rPr>
        <w:t>Background.</w:t>
      </w:r>
      <w:r w:rsidR="00FF319D" w:rsidRPr="00E14821">
        <w:rPr>
          <w:rFonts w:asciiTheme="majorBidi" w:hAnsiTheme="majorBidi" w:cstheme="majorBidi"/>
          <w:b/>
          <w:bCs/>
        </w:rPr>
        <w:t xml:space="preserve"> </w:t>
      </w:r>
      <w:r w:rsidR="00FF319D" w:rsidRPr="00E14821">
        <w:rPr>
          <w:rFonts w:asciiTheme="majorBidi" w:eastAsia="Times New Roman" w:hAnsiTheme="majorBidi" w:cstheme="majorBidi"/>
          <w:color w:val="000000"/>
        </w:rPr>
        <w:t>Acute lymphoblastic leuke</w:t>
      </w:r>
      <w:r w:rsidR="005E2D4C">
        <w:rPr>
          <w:rFonts w:asciiTheme="majorBidi" w:eastAsia="Times New Roman" w:hAnsiTheme="majorBidi" w:cstheme="majorBidi"/>
          <w:color w:val="000000"/>
        </w:rPr>
        <w:t>mia (ALL) is a malignant</w:t>
      </w:r>
      <w:r w:rsidR="00FF319D" w:rsidRPr="00E14821">
        <w:rPr>
          <w:rFonts w:asciiTheme="majorBidi" w:eastAsia="Times New Roman" w:hAnsiTheme="majorBidi" w:cstheme="majorBidi"/>
          <w:color w:val="000000"/>
        </w:rPr>
        <w:t xml:space="preserve"> disease of the bone marrow in which early lymphoid precursors proliferate and replace the normal hematopoietic cells of the marrow. Philadelphia chromosome (Ph)-positive ALL, a high-risk cytogenetic subset, accounts for 25-30% of adult ALL cases but occurs in less than 5% of children. </w:t>
      </w:r>
      <w:r w:rsidR="00FF319D" w:rsidRPr="00E14821">
        <w:rPr>
          <w:rFonts w:asciiTheme="majorBidi" w:hAnsiTheme="majorBidi" w:cstheme="majorBidi"/>
        </w:rPr>
        <w:t>We aimed with this study to</w:t>
      </w:r>
      <w:r w:rsidR="00FF319D" w:rsidRPr="00E14821">
        <w:rPr>
          <w:rFonts w:asciiTheme="majorBidi" w:hAnsiTheme="majorBidi" w:cstheme="majorBidi"/>
          <w:bCs/>
          <w:spacing w:val="-6"/>
          <w:lang w:eastAsia="en-GB" w:bidi="ar-EG"/>
        </w:rPr>
        <w:t xml:space="preserve"> </w:t>
      </w:r>
      <w:r w:rsidR="00FF319D" w:rsidRPr="00E14821">
        <w:rPr>
          <w:rFonts w:ascii="Times New Roman" w:eastAsia="Times New Roman" w:hAnsi="Times New Roman" w:cs="Times New Roman"/>
          <w:color w:val="000000"/>
        </w:rPr>
        <w:t xml:space="preserve">detect </w:t>
      </w:r>
      <w:r w:rsidR="00F10E43">
        <w:rPr>
          <w:rFonts w:asciiTheme="majorBidi" w:eastAsia="Times New Roman" w:hAnsiTheme="majorBidi" w:cstheme="majorBidi"/>
          <w:color w:val="000000"/>
        </w:rPr>
        <w:t>Ph</w:t>
      </w:r>
      <w:r w:rsidR="00F10E43" w:rsidRPr="00E14821">
        <w:rPr>
          <w:rFonts w:asciiTheme="majorBidi" w:eastAsia="Times New Roman" w:hAnsiTheme="majorBidi" w:cstheme="majorBidi"/>
          <w:color w:val="000000"/>
        </w:rPr>
        <w:t xml:space="preserve"> chromosome</w:t>
      </w:r>
      <w:r w:rsidR="00A4517C">
        <w:rPr>
          <w:rFonts w:ascii="Times New Roman" w:eastAsia="Times New Roman" w:hAnsi="Times New Roman" w:cs="Times New Roman"/>
          <w:color w:val="000000"/>
        </w:rPr>
        <w:t xml:space="preserve"> </w:t>
      </w:r>
      <w:r w:rsidR="00FF319D" w:rsidRPr="00E14821">
        <w:rPr>
          <w:rFonts w:ascii="Times New Roman" w:eastAsia="Times New Roman" w:hAnsi="Times New Roman" w:cs="Times New Roman"/>
          <w:color w:val="000000"/>
        </w:rPr>
        <w:t xml:space="preserve">in acute lymphoblastic leukemia </w:t>
      </w:r>
      <w:r w:rsidR="00CD1F32" w:rsidRPr="00E14821">
        <w:rPr>
          <w:rFonts w:ascii="Times New Roman" w:eastAsia="Times New Roman" w:hAnsi="Times New Roman" w:cs="Times New Roman"/>
          <w:color w:val="000000"/>
        </w:rPr>
        <w:t xml:space="preserve">patients, using </w:t>
      </w:r>
      <w:r w:rsidR="00FF319D" w:rsidRPr="00E14821">
        <w:rPr>
          <w:rFonts w:ascii="Times New Roman" w:eastAsia="Times New Roman" w:hAnsi="Times New Roman" w:cs="Times New Roman"/>
          <w:color w:val="000000"/>
        </w:rPr>
        <w:t>(FISH), and to assess their relation with other standard prognostic factors and therapeutic response.</w:t>
      </w:r>
    </w:p>
    <w:p w:rsidR="002B4BD6" w:rsidRPr="00E14821" w:rsidRDefault="00E661FB" w:rsidP="005D05BB">
      <w:pPr>
        <w:shd w:val="clear" w:color="auto" w:fill="D9D9D9" w:themeFill="background1" w:themeFillShade="D9"/>
        <w:spacing w:after="0" w:line="240" w:lineRule="auto"/>
        <w:jc w:val="both"/>
        <w:rPr>
          <w:rFonts w:asciiTheme="majorBidi" w:eastAsia="Times New Roman" w:hAnsiTheme="majorBidi" w:cstheme="majorBidi"/>
          <w:b/>
          <w:bCs/>
        </w:rPr>
      </w:pPr>
      <w:r w:rsidRPr="00E14821">
        <w:rPr>
          <w:rFonts w:asciiTheme="majorBidi" w:eastAsia="Times New Roman" w:hAnsiTheme="majorBidi" w:cstheme="majorBidi"/>
          <w:b/>
          <w:bCs/>
        </w:rPr>
        <w:t>Patients and methods.</w:t>
      </w:r>
      <w:r w:rsidR="00FF319D" w:rsidRPr="00E14821">
        <w:rPr>
          <w:rFonts w:asciiTheme="majorBidi" w:eastAsia="Times New Roman" w:hAnsiTheme="majorBidi" w:cstheme="majorBidi"/>
          <w:b/>
          <w:bCs/>
        </w:rPr>
        <w:t xml:space="preserve"> </w:t>
      </w:r>
      <w:r w:rsidR="002B4BD6" w:rsidRPr="00E14821">
        <w:rPr>
          <w:rFonts w:asciiTheme="majorBidi" w:hAnsiTheme="majorBidi" w:cstheme="majorBidi"/>
        </w:rPr>
        <w:t>This study was carried out on 39  newly diagnosed</w:t>
      </w:r>
      <w:r w:rsidR="00E831FE" w:rsidRPr="00E14821">
        <w:rPr>
          <w:rFonts w:asciiTheme="majorBidi" w:hAnsiTheme="majorBidi" w:cstheme="majorBidi"/>
        </w:rPr>
        <w:t xml:space="preserve"> ALL patients</w:t>
      </w:r>
      <w:r w:rsidR="002B4BD6" w:rsidRPr="00E14821">
        <w:rPr>
          <w:rFonts w:asciiTheme="majorBidi" w:hAnsiTheme="majorBidi" w:cstheme="majorBidi"/>
        </w:rPr>
        <w:t>. All patients were subjected to; History, clinical examination and Laboratory investigations, which included CBC</w:t>
      </w:r>
      <w:r w:rsidR="00F10E43">
        <w:rPr>
          <w:rFonts w:asciiTheme="majorBidi" w:hAnsiTheme="majorBidi" w:cstheme="majorBidi"/>
        </w:rPr>
        <w:t xml:space="preserve"> (Complete Blood Count)</w:t>
      </w:r>
      <w:r w:rsidR="002B4BD6" w:rsidRPr="00E14821">
        <w:rPr>
          <w:rFonts w:asciiTheme="majorBidi" w:hAnsiTheme="majorBidi" w:cstheme="majorBidi"/>
        </w:rPr>
        <w:t>, P</w:t>
      </w:r>
      <w:r w:rsidR="00861B41">
        <w:rPr>
          <w:rFonts w:asciiTheme="majorBidi" w:hAnsiTheme="majorBidi" w:cstheme="majorBidi"/>
        </w:rPr>
        <w:t>.</w:t>
      </w:r>
      <w:r w:rsidR="002B4BD6" w:rsidRPr="00E14821">
        <w:rPr>
          <w:rFonts w:asciiTheme="majorBidi" w:hAnsiTheme="majorBidi" w:cstheme="majorBidi"/>
        </w:rPr>
        <w:t>B</w:t>
      </w:r>
      <w:r w:rsidR="00861B41">
        <w:rPr>
          <w:rFonts w:asciiTheme="majorBidi" w:hAnsiTheme="majorBidi" w:cstheme="majorBidi"/>
        </w:rPr>
        <w:t>L.</w:t>
      </w:r>
      <w:r w:rsidR="00F10E43">
        <w:rPr>
          <w:rFonts w:asciiTheme="majorBidi" w:hAnsiTheme="majorBidi" w:cstheme="majorBidi"/>
        </w:rPr>
        <w:t>(Peripheral Blood) smear</w:t>
      </w:r>
      <w:r w:rsidR="002B4BD6" w:rsidRPr="00E14821">
        <w:rPr>
          <w:rFonts w:asciiTheme="majorBidi" w:hAnsiTheme="majorBidi" w:cstheme="majorBidi"/>
        </w:rPr>
        <w:t xml:space="preserve"> and BM</w:t>
      </w:r>
      <w:r w:rsidR="00F10E43">
        <w:rPr>
          <w:rFonts w:asciiTheme="majorBidi" w:hAnsiTheme="majorBidi" w:cstheme="majorBidi"/>
        </w:rPr>
        <w:t>(Bone Marrow) examination, i</w:t>
      </w:r>
      <w:r w:rsidR="002B4BD6" w:rsidRPr="00E14821">
        <w:rPr>
          <w:rFonts w:asciiTheme="majorBidi" w:hAnsiTheme="majorBidi" w:cstheme="majorBidi"/>
        </w:rPr>
        <w:t xml:space="preserve">mmunophenotyping and Fluorescence in situ </w:t>
      </w:r>
      <w:r w:rsidR="005E2D4C">
        <w:rPr>
          <w:rFonts w:asciiTheme="majorBidi" w:hAnsiTheme="majorBidi" w:cstheme="majorBidi"/>
        </w:rPr>
        <w:t>hybridization</w:t>
      </w:r>
      <w:r w:rsidR="002B4BD6" w:rsidRPr="00E14821">
        <w:rPr>
          <w:rFonts w:asciiTheme="majorBidi" w:hAnsiTheme="majorBidi" w:cstheme="majorBidi"/>
        </w:rPr>
        <w:t xml:space="preserve"> to detect </w:t>
      </w:r>
      <w:r w:rsidR="00F10E43">
        <w:rPr>
          <w:rFonts w:asciiTheme="majorBidi" w:eastAsia="Times New Roman" w:hAnsiTheme="majorBidi" w:cstheme="majorBidi"/>
          <w:color w:val="000000"/>
        </w:rPr>
        <w:t>Ph</w:t>
      </w:r>
      <w:r w:rsidR="00F10E43" w:rsidRPr="00E14821">
        <w:rPr>
          <w:rFonts w:asciiTheme="majorBidi" w:eastAsia="Times New Roman" w:hAnsiTheme="majorBidi" w:cstheme="majorBidi"/>
          <w:color w:val="000000"/>
        </w:rPr>
        <w:t xml:space="preserve"> chromosome</w:t>
      </w:r>
      <w:r w:rsidR="002B4BD6" w:rsidRPr="00E14821">
        <w:rPr>
          <w:rFonts w:ascii="Times New Roman" w:eastAsia="Times New Roman" w:hAnsi="Times New Roman" w:cs="Times New Roman"/>
          <w:color w:val="000000"/>
        </w:rPr>
        <w:t>.</w:t>
      </w:r>
    </w:p>
    <w:p w:rsidR="00E661FB" w:rsidRPr="00E14821" w:rsidRDefault="00E661FB" w:rsidP="005D05BB">
      <w:pPr>
        <w:shd w:val="clear" w:color="auto" w:fill="D9D9D9" w:themeFill="background1" w:themeFillShade="D9"/>
        <w:spacing w:after="0" w:line="240" w:lineRule="auto"/>
        <w:jc w:val="both"/>
        <w:rPr>
          <w:rFonts w:asciiTheme="majorBidi" w:hAnsiTheme="majorBidi" w:cstheme="majorBidi"/>
          <w:b/>
          <w:bCs/>
        </w:rPr>
      </w:pPr>
      <w:r w:rsidRPr="00E14821">
        <w:rPr>
          <w:rFonts w:asciiTheme="majorBidi" w:hAnsiTheme="majorBidi" w:cstheme="majorBidi"/>
          <w:b/>
          <w:bCs/>
        </w:rPr>
        <w:t>Results.</w:t>
      </w:r>
      <w:r w:rsidR="002B4BD6" w:rsidRPr="00E14821">
        <w:rPr>
          <w:rFonts w:asciiTheme="majorBidi" w:hAnsiTheme="majorBidi" w:cstheme="majorBidi"/>
          <w:b/>
          <w:bCs/>
        </w:rPr>
        <w:t xml:space="preserve"> </w:t>
      </w:r>
      <w:r w:rsidR="0003348D" w:rsidRPr="00E14821">
        <w:rPr>
          <w:rFonts w:asciiTheme="majorBidi" w:hAnsiTheme="majorBidi" w:cstheme="majorBidi"/>
        </w:rPr>
        <w:t>This study was carried out on 39  newly diagnosed ALL patients show: Statistical analysis of patients’ t(9;22) with other factors revealed significant association (p&lt;0.05) of  t(9;22) with patients outcome,  age  &gt;35 years, hepatosplenomegaly, absence of lymphadenopathy, TLC ≥50X10</w:t>
      </w:r>
      <w:r w:rsidR="0003348D" w:rsidRPr="00E14821">
        <w:rPr>
          <w:rFonts w:asciiTheme="majorBidi" w:hAnsiTheme="majorBidi" w:cstheme="majorBidi"/>
          <w:vertAlign w:val="superscript"/>
        </w:rPr>
        <w:t>9</w:t>
      </w:r>
      <w:r w:rsidR="0003348D" w:rsidRPr="00E14821">
        <w:rPr>
          <w:rFonts w:asciiTheme="majorBidi" w:hAnsiTheme="majorBidi" w:cstheme="majorBidi"/>
        </w:rPr>
        <w:t>/L,  absolute P.Bl blasts ≥4.4X10</w:t>
      </w:r>
      <w:r w:rsidR="0003348D" w:rsidRPr="00E14821">
        <w:rPr>
          <w:rFonts w:asciiTheme="majorBidi" w:hAnsiTheme="majorBidi" w:cstheme="majorBidi"/>
          <w:vertAlign w:val="superscript"/>
        </w:rPr>
        <w:t>9</w:t>
      </w:r>
      <w:r w:rsidR="00F10E43">
        <w:rPr>
          <w:rFonts w:asciiTheme="majorBidi" w:hAnsiTheme="majorBidi" w:cstheme="majorBidi"/>
        </w:rPr>
        <w:t xml:space="preserve">/L and </w:t>
      </w:r>
      <w:r w:rsidR="0003348D" w:rsidRPr="00E14821">
        <w:rPr>
          <w:rFonts w:asciiTheme="majorBidi" w:hAnsiTheme="majorBidi" w:cstheme="majorBidi"/>
        </w:rPr>
        <w:t>immunophenotyping.</w:t>
      </w:r>
    </w:p>
    <w:p w:rsidR="00BD6745" w:rsidRPr="00E14821" w:rsidRDefault="00E56E2B" w:rsidP="005D05BB">
      <w:pPr>
        <w:shd w:val="clear" w:color="auto" w:fill="D9D9D9" w:themeFill="background1" w:themeFillShade="D9"/>
        <w:spacing w:after="0" w:line="240" w:lineRule="auto"/>
        <w:jc w:val="both"/>
        <w:rPr>
          <w:rFonts w:asciiTheme="majorBidi" w:hAnsiTheme="majorBidi" w:cstheme="majorBidi"/>
          <w:b/>
          <w:bCs/>
        </w:rPr>
      </w:pPr>
      <w:r w:rsidRPr="00E14821">
        <w:rPr>
          <w:rFonts w:asciiTheme="majorBidi" w:hAnsiTheme="majorBidi" w:cstheme="majorBidi"/>
          <w:b/>
          <w:bCs/>
        </w:rPr>
        <w:t>Conclusion.</w:t>
      </w:r>
      <w:r w:rsidR="0003348D" w:rsidRPr="00E14821">
        <w:rPr>
          <w:rFonts w:asciiTheme="majorBidi" w:hAnsiTheme="majorBidi" w:cstheme="majorBidi"/>
          <w:b/>
          <w:bCs/>
        </w:rPr>
        <w:t xml:space="preserve"> </w:t>
      </w:r>
      <w:r w:rsidR="00F10E43">
        <w:rPr>
          <w:rFonts w:asciiTheme="majorBidi" w:eastAsia="Times New Roman" w:hAnsiTheme="majorBidi" w:cstheme="majorBidi"/>
          <w:color w:val="000000"/>
        </w:rPr>
        <w:t>Ph</w:t>
      </w:r>
      <w:r w:rsidR="00F10E43" w:rsidRPr="00E14821">
        <w:rPr>
          <w:rFonts w:asciiTheme="majorBidi" w:eastAsia="Times New Roman" w:hAnsiTheme="majorBidi" w:cstheme="majorBidi"/>
          <w:color w:val="000000"/>
        </w:rPr>
        <w:t xml:space="preserve"> chromosome </w:t>
      </w:r>
      <w:r w:rsidR="00BD6745" w:rsidRPr="00E14821">
        <w:rPr>
          <w:rFonts w:asciiTheme="majorBidi" w:eastAsia="Times New Roman" w:hAnsiTheme="majorBidi" w:cstheme="majorBidi"/>
        </w:rPr>
        <w:t>expression serve as a powerful prognostic marker in adulthood ALL, As ph +ve adult acute lymphoblast</w:t>
      </w:r>
      <w:r w:rsidR="00F10E43">
        <w:rPr>
          <w:rFonts w:asciiTheme="majorBidi" w:eastAsia="Times New Roman" w:hAnsiTheme="majorBidi" w:cstheme="majorBidi"/>
        </w:rPr>
        <w:t xml:space="preserve">ic leukemia has poor prognosis </w:t>
      </w:r>
      <w:r w:rsidR="00AB4D1F">
        <w:rPr>
          <w:rFonts w:asciiTheme="majorBidi" w:hAnsiTheme="majorBidi" w:cstheme="majorBidi"/>
        </w:rPr>
        <w:t>and can</w:t>
      </w:r>
      <w:r w:rsidR="00BD6745" w:rsidRPr="00E14821">
        <w:rPr>
          <w:rFonts w:asciiTheme="majorBidi" w:hAnsiTheme="majorBidi" w:cstheme="majorBidi"/>
        </w:rPr>
        <w:t xml:space="preserve"> be used as prognostic indicators for therapeutic response.</w:t>
      </w:r>
    </w:p>
    <w:p w:rsidR="005D05BB" w:rsidRDefault="005D05BB" w:rsidP="00E14821">
      <w:pPr>
        <w:spacing w:line="240" w:lineRule="auto"/>
        <w:jc w:val="both"/>
        <w:rPr>
          <w:rFonts w:asciiTheme="majorBidi" w:hAnsiTheme="majorBidi" w:cstheme="majorBidi"/>
          <w:b/>
          <w:bCs/>
        </w:rPr>
        <w:sectPr w:rsidR="005D05BB" w:rsidSect="005D05BB">
          <w:type w:val="continuous"/>
          <w:pgSz w:w="12240" w:h="15840"/>
          <w:pgMar w:top="1440" w:right="1800" w:bottom="1440" w:left="1800" w:header="708" w:footer="708" w:gutter="0"/>
          <w:cols w:space="708"/>
          <w:docGrid w:linePitch="360"/>
        </w:sectPr>
      </w:pPr>
    </w:p>
    <w:p w:rsidR="005D05BB" w:rsidRPr="005D05BB" w:rsidRDefault="005D05BB" w:rsidP="00E14821">
      <w:pPr>
        <w:spacing w:line="240" w:lineRule="auto"/>
        <w:jc w:val="both"/>
        <w:rPr>
          <w:rFonts w:asciiTheme="majorBidi" w:hAnsiTheme="majorBidi" w:cstheme="majorBidi"/>
          <w:b/>
          <w:bCs/>
          <w:sz w:val="6"/>
          <w:szCs w:val="6"/>
        </w:rPr>
      </w:pPr>
    </w:p>
    <w:p w:rsidR="00E56E2B" w:rsidRPr="005D05BB" w:rsidRDefault="00E56E2B" w:rsidP="005D05BB">
      <w:pPr>
        <w:spacing w:after="0" w:line="240" w:lineRule="auto"/>
        <w:jc w:val="both"/>
        <w:rPr>
          <w:rFonts w:asciiTheme="majorBidi" w:hAnsiTheme="majorBidi" w:cstheme="majorBidi"/>
          <w:b/>
          <w:bCs/>
          <w:sz w:val="28"/>
          <w:szCs w:val="28"/>
        </w:rPr>
      </w:pPr>
      <w:r w:rsidRPr="005D05BB">
        <w:rPr>
          <w:rFonts w:asciiTheme="majorBidi" w:hAnsiTheme="majorBidi" w:cstheme="majorBidi"/>
          <w:b/>
          <w:bCs/>
          <w:sz w:val="28"/>
          <w:szCs w:val="28"/>
        </w:rPr>
        <w:t>Introduction</w:t>
      </w:r>
    </w:p>
    <w:p w:rsidR="0001569A" w:rsidRPr="005D05BB" w:rsidRDefault="0001569A" w:rsidP="005D05BB">
      <w:pPr>
        <w:spacing w:after="0" w:line="240" w:lineRule="auto"/>
        <w:jc w:val="both"/>
        <w:rPr>
          <w:rFonts w:asciiTheme="majorBidi" w:eastAsia="Times New Roman" w:hAnsiTheme="majorBidi" w:cstheme="majorBidi"/>
          <w:color w:val="000000"/>
          <w:sz w:val="24"/>
          <w:szCs w:val="24"/>
        </w:rPr>
      </w:pPr>
      <w:r w:rsidRPr="00E14821">
        <w:rPr>
          <w:rFonts w:asciiTheme="majorBidi" w:eastAsia="Times New Roman" w:hAnsiTheme="majorBidi" w:cstheme="majorBidi"/>
          <w:color w:val="000000"/>
        </w:rPr>
        <w:t xml:space="preserve">       </w:t>
      </w:r>
      <w:r w:rsidRPr="005D05BB">
        <w:rPr>
          <w:rFonts w:asciiTheme="majorBidi" w:eastAsia="Times New Roman" w:hAnsiTheme="majorBidi" w:cstheme="majorBidi"/>
          <w:color w:val="000000"/>
          <w:sz w:val="24"/>
          <w:szCs w:val="24"/>
        </w:rPr>
        <w:t xml:space="preserve">Acute lymphoblastic leukemia (ALL) is a malignant (clonal) disease of the bone marrow in which early lymphoid precursors proliferate and replace the normal hematopoietic cells of the marrow </w:t>
      </w:r>
      <w:r w:rsidR="00A06C73" w:rsidRPr="005D05BB">
        <w:rPr>
          <w:rFonts w:asciiTheme="majorBidi" w:eastAsia="Times New Roman" w:hAnsiTheme="majorBidi" w:cstheme="majorBidi"/>
          <w:b/>
          <w:bCs/>
          <w:color w:val="000000"/>
          <w:sz w:val="24"/>
          <w:szCs w:val="24"/>
        </w:rPr>
        <w:t>(1</w:t>
      </w:r>
      <w:r w:rsidRPr="005D05BB">
        <w:rPr>
          <w:rFonts w:asciiTheme="majorBidi" w:eastAsia="Times New Roman" w:hAnsiTheme="majorBidi" w:cstheme="majorBidi"/>
          <w:b/>
          <w:bCs/>
          <w:color w:val="000000"/>
          <w:sz w:val="24"/>
          <w:szCs w:val="24"/>
        </w:rPr>
        <w:t>)</w:t>
      </w:r>
      <w:r w:rsidRPr="005D05BB">
        <w:rPr>
          <w:rFonts w:asciiTheme="majorBidi" w:eastAsia="Times New Roman" w:hAnsiTheme="majorBidi" w:cstheme="majorBidi"/>
          <w:color w:val="000000"/>
          <w:sz w:val="24"/>
          <w:szCs w:val="24"/>
        </w:rPr>
        <w:t>.</w:t>
      </w:r>
    </w:p>
    <w:p w:rsidR="00D249FC" w:rsidRPr="005D05BB" w:rsidRDefault="007D7777" w:rsidP="005D05BB">
      <w:pPr>
        <w:spacing w:after="0" w:line="240" w:lineRule="auto"/>
        <w:ind w:firstLine="284"/>
        <w:jc w:val="both"/>
        <w:rPr>
          <w:rFonts w:asciiTheme="majorBidi" w:eastAsia="Times New Roman" w:hAnsiTheme="majorBidi" w:cstheme="majorBidi"/>
          <w:b/>
          <w:bCs/>
          <w:color w:val="000000"/>
          <w:sz w:val="24"/>
          <w:szCs w:val="24"/>
        </w:rPr>
      </w:pPr>
      <w:r w:rsidRPr="005D05BB">
        <w:rPr>
          <w:rFonts w:asciiTheme="majorBidi" w:eastAsia="Times New Roman" w:hAnsiTheme="majorBidi" w:cstheme="majorBidi"/>
          <w:color w:val="000000"/>
          <w:sz w:val="24"/>
          <w:szCs w:val="24"/>
        </w:rPr>
        <w:t xml:space="preserve">Adult  and childhood ALL differ markedly in the prevalence of various cytogenetic abnormalities. </w:t>
      </w:r>
      <w:r w:rsidR="00D249FC" w:rsidRPr="005D05BB">
        <w:rPr>
          <w:rFonts w:asciiTheme="majorBidi" w:eastAsia="Times New Roman" w:hAnsiTheme="majorBidi" w:cstheme="majorBidi"/>
          <w:color w:val="000000"/>
          <w:sz w:val="24"/>
          <w:szCs w:val="24"/>
        </w:rPr>
        <w:t xml:space="preserve">Ph </w:t>
      </w:r>
      <w:r w:rsidRPr="005D05BB">
        <w:rPr>
          <w:rFonts w:asciiTheme="majorBidi" w:eastAsia="Times New Roman" w:hAnsiTheme="majorBidi" w:cstheme="majorBidi"/>
          <w:color w:val="000000"/>
          <w:sz w:val="24"/>
          <w:szCs w:val="24"/>
        </w:rPr>
        <w:t xml:space="preserve">positive ALL, a high-risk cytogenetic subset, accounts for 25-30% of adult ALL cases but occurs in less than 5% of children. </w:t>
      </w:r>
      <w:r w:rsidRPr="005D05BB">
        <w:rPr>
          <w:rFonts w:asciiTheme="majorBidi" w:eastAsia="Times New Roman" w:hAnsiTheme="majorBidi" w:cstheme="majorBidi"/>
          <w:b/>
          <w:bCs/>
          <w:color w:val="000000"/>
          <w:sz w:val="24"/>
          <w:szCs w:val="24"/>
        </w:rPr>
        <w:t>(</w:t>
      </w:r>
      <w:r w:rsidR="00BB49AF" w:rsidRPr="005D05BB">
        <w:rPr>
          <w:rFonts w:asciiTheme="majorBidi" w:eastAsia="Times New Roman" w:hAnsiTheme="majorBidi" w:cstheme="majorBidi"/>
          <w:b/>
          <w:bCs/>
          <w:color w:val="000000"/>
          <w:sz w:val="24"/>
          <w:szCs w:val="24"/>
        </w:rPr>
        <w:t>2</w:t>
      </w:r>
      <w:r w:rsidRPr="005D05BB">
        <w:rPr>
          <w:rFonts w:asciiTheme="majorBidi" w:eastAsia="Times New Roman" w:hAnsiTheme="majorBidi" w:cstheme="majorBidi"/>
          <w:b/>
          <w:bCs/>
          <w:color w:val="000000"/>
          <w:sz w:val="24"/>
          <w:szCs w:val="24"/>
        </w:rPr>
        <w:t>).</w:t>
      </w:r>
    </w:p>
    <w:p w:rsidR="005D05BB" w:rsidRDefault="00D249FC" w:rsidP="005D05BB">
      <w:pPr>
        <w:spacing w:after="0" w:line="240" w:lineRule="auto"/>
        <w:ind w:firstLine="284"/>
        <w:jc w:val="both"/>
        <w:rPr>
          <w:rFonts w:asciiTheme="majorBidi" w:hAnsiTheme="majorBidi" w:cstheme="majorBidi"/>
          <w:iCs/>
          <w:sz w:val="24"/>
          <w:szCs w:val="24"/>
          <w:lang w:eastAsia="en-GB"/>
        </w:rPr>
      </w:pPr>
      <w:r w:rsidRPr="005D05BB">
        <w:rPr>
          <w:rFonts w:asciiTheme="majorBidi" w:hAnsiTheme="majorBidi" w:cstheme="majorBidi"/>
          <w:iCs/>
          <w:sz w:val="24"/>
          <w:szCs w:val="24"/>
          <w:lang w:eastAsia="en-GB"/>
        </w:rPr>
        <w:t>Ph</w:t>
      </w:r>
      <w:r w:rsidR="00BF45D8" w:rsidRPr="005D05BB">
        <w:rPr>
          <w:rFonts w:asciiTheme="majorBidi" w:hAnsiTheme="majorBidi" w:cstheme="majorBidi"/>
          <w:iCs/>
          <w:sz w:val="24"/>
          <w:szCs w:val="24"/>
          <w:lang w:eastAsia="en-GB"/>
        </w:rPr>
        <w:t xml:space="preserve"> chromosome results from a reciprocal translocation that fuses the Abelson tyrosine kinase (ABL1) from chromosome 9  to the breakpoint cluster region (BCR) on chromosome 22. The unique biology of Ph +ve acute </w:t>
      </w:r>
    </w:p>
    <w:p w:rsidR="005D05BB" w:rsidRDefault="005D05BB" w:rsidP="005D05BB">
      <w:pPr>
        <w:spacing w:after="0" w:line="240" w:lineRule="auto"/>
        <w:ind w:firstLine="284"/>
        <w:jc w:val="both"/>
        <w:rPr>
          <w:rFonts w:asciiTheme="majorBidi" w:hAnsiTheme="majorBidi" w:cstheme="majorBidi"/>
          <w:iCs/>
          <w:sz w:val="24"/>
          <w:szCs w:val="24"/>
          <w:lang w:eastAsia="en-GB"/>
        </w:rPr>
      </w:pPr>
    </w:p>
    <w:p w:rsidR="005D05BB" w:rsidRDefault="005D05BB" w:rsidP="005D05BB">
      <w:pPr>
        <w:spacing w:after="0" w:line="240" w:lineRule="auto"/>
        <w:ind w:firstLine="284"/>
        <w:jc w:val="both"/>
        <w:rPr>
          <w:rFonts w:asciiTheme="majorBidi" w:hAnsiTheme="majorBidi" w:cstheme="majorBidi"/>
          <w:iCs/>
          <w:sz w:val="24"/>
          <w:szCs w:val="24"/>
          <w:lang w:eastAsia="en-GB"/>
        </w:rPr>
      </w:pPr>
    </w:p>
    <w:p w:rsidR="005D05BB" w:rsidRPr="005D05BB" w:rsidRDefault="00BF45D8" w:rsidP="005D05BB">
      <w:pPr>
        <w:spacing w:after="0" w:line="240" w:lineRule="auto"/>
        <w:ind w:firstLine="284"/>
        <w:jc w:val="both"/>
        <w:rPr>
          <w:rFonts w:asciiTheme="majorBidi" w:eastAsia="Times New Roman" w:hAnsiTheme="majorBidi" w:cstheme="majorBidi"/>
          <w:b/>
          <w:bCs/>
          <w:color w:val="000000"/>
          <w:sz w:val="24"/>
          <w:szCs w:val="24"/>
        </w:rPr>
      </w:pPr>
      <w:r w:rsidRPr="005D05BB">
        <w:rPr>
          <w:rFonts w:asciiTheme="majorBidi" w:hAnsiTheme="majorBidi" w:cstheme="majorBidi"/>
          <w:iCs/>
          <w:sz w:val="24"/>
          <w:szCs w:val="24"/>
          <w:lang w:eastAsia="en-GB"/>
        </w:rPr>
        <w:t>lymphoblastic leukemia (ALL) is attributable to the constitutive expression of oncoprotein BCR/ABL1 with tyrosine kinase activity</w:t>
      </w:r>
      <w:r w:rsidRPr="005D05BB">
        <w:rPr>
          <w:rFonts w:asciiTheme="majorBidi" w:hAnsiTheme="majorBidi" w:cstheme="majorBidi"/>
          <w:b/>
          <w:bCs/>
          <w:i/>
          <w:sz w:val="24"/>
          <w:szCs w:val="24"/>
          <w:lang w:eastAsia="en-GB"/>
        </w:rPr>
        <w:t>.</w:t>
      </w:r>
      <w:r w:rsidRPr="005D05BB">
        <w:rPr>
          <w:rFonts w:asciiTheme="majorBidi" w:hAnsiTheme="majorBidi" w:cstheme="majorBidi"/>
          <w:b/>
          <w:bCs/>
          <w:iCs/>
          <w:sz w:val="24"/>
          <w:szCs w:val="24"/>
          <w:lang w:eastAsia="en-GB"/>
        </w:rPr>
        <w:t xml:space="preserve"> </w:t>
      </w:r>
      <w:r w:rsidR="00BB49AF" w:rsidRPr="005D05BB">
        <w:rPr>
          <w:rFonts w:asciiTheme="majorBidi" w:hAnsiTheme="majorBidi" w:cstheme="majorBidi"/>
          <w:b/>
          <w:bCs/>
          <w:iCs/>
          <w:sz w:val="24"/>
          <w:szCs w:val="24"/>
          <w:lang w:eastAsia="en-GB"/>
        </w:rPr>
        <w:t>(3</w:t>
      </w:r>
      <w:r w:rsidRPr="005D05BB">
        <w:rPr>
          <w:rFonts w:asciiTheme="majorBidi" w:hAnsiTheme="majorBidi" w:cstheme="majorBidi"/>
          <w:b/>
          <w:bCs/>
          <w:iCs/>
          <w:sz w:val="24"/>
          <w:szCs w:val="24"/>
          <w:lang w:eastAsia="en-GB"/>
        </w:rPr>
        <w:t>).</w:t>
      </w:r>
    </w:p>
    <w:p w:rsidR="00F82DBA" w:rsidRPr="005D05BB" w:rsidRDefault="009E51AF" w:rsidP="005D05BB">
      <w:pPr>
        <w:spacing w:after="0" w:line="240" w:lineRule="auto"/>
        <w:ind w:firstLine="284"/>
        <w:jc w:val="both"/>
        <w:rPr>
          <w:rFonts w:ascii="Times New Roman" w:hAnsi="Times New Roman" w:cs="Times New Roman"/>
          <w:bCs/>
          <w:sz w:val="24"/>
          <w:szCs w:val="24"/>
          <w:rtl/>
          <w:lang w:eastAsia="en-GB"/>
        </w:rPr>
      </w:pPr>
      <w:r w:rsidRPr="005D05BB">
        <w:rPr>
          <w:rFonts w:ascii="Times New Roman" w:hAnsi="Times New Roman" w:cs="Times New Roman"/>
          <w:bCs/>
          <w:sz w:val="24"/>
          <w:szCs w:val="24"/>
          <w:lang w:eastAsia="en-GB"/>
        </w:rPr>
        <w:t>F</w:t>
      </w:r>
      <w:r w:rsidR="00F82DBA" w:rsidRPr="005D05BB">
        <w:rPr>
          <w:rFonts w:ascii="Times New Roman" w:hAnsi="Times New Roman" w:cs="Times New Roman"/>
          <w:bCs/>
          <w:sz w:val="24"/>
          <w:szCs w:val="24"/>
          <w:lang w:eastAsia="en-GB"/>
        </w:rPr>
        <w:t xml:space="preserve">luorescence in situ hybridization technology represents an important advancement in cytogenetics. FISH is a marriage of classical cytogenetics and molecular technologies and has a large number of applications. FISH techniques have replaced special stains in many laboratories </w:t>
      </w:r>
      <w:r w:rsidR="00BB49AF" w:rsidRPr="005D05BB">
        <w:rPr>
          <w:rFonts w:asciiTheme="majorBidi" w:hAnsiTheme="majorBidi" w:cstheme="majorBidi"/>
          <w:b/>
          <w:bCs/>
          <w:i/>
          <w:iCs/>
          <w:color w:val="000000" w:themeColor="text1"/>
          <w:sz w:val="24"/>
          <w:szCs w:val="24"/>
        </w:rPr>
        <w:t>(4</w:t>
      </w:r>
      <w:r w:rsidR="00F82DBA" w:rsidRPr="005D05BB">
        <w:rPr>
          <w:rFonts w:asciiTheme="majorBidi" w:hAnsiTheme="majorBidi" w:cstheme="majorBidi"/>
          <w:b/>
          <w:bCs/>
          <w:i/>
          <w:iCs/>
          <w:color w:val="000000" w:themeColor="text1"/>
          <w:sz w:val="24"/>
          <w:szCs w:val="24"/>
        </w:rPr>
        <w:t>).</w:t>
      </w:r>
    </w:p>
    <w:p w:rsidR="00F82DBA" w:rsidRPr="005D05BB" w:rsidRDefault="00F82DBA" w:rsidP="005D05BB">
      <w:pPr>
        <w:spacing w:after="0" w:line="240" w:lineRule="auto"/>
        <w:ind w:firstLine="284"/>
        <w:jc w:val="both"/>
        <w:rPr>
          <w:rFonts w:ascii="Times New Roman" w:hAnsi="Times New Roman" w:cs="Times New Roman"/>
          <w:b/>
          <w:bCs/>
          <w:i/>
          <w:spacing w:val="-4"/>
          <w:sz w:val="24"/>
          <w:szCs w:val="24"/>
          <w:lang w:eastAsia="en-GB" w:bidi="ar-EG"/>
        </w:rPr>
      </w:pPr>
      <w:r w:rsidRPr="005D05BB">
        <w:rPr>
          <w:rFonts w:ascii="Times New Roman" w:hAnsi="Times New Roman" w:cs="Times New Roman"/>
          <w:spacing w:val="-4"/>
          <w:sz w:val="24"/>
          <w:szCs w:val="24"/>
          <w:shd w:val="clear" w:color="auto" w:fill="FFFFFF"/>
        </w:rPr>
        <w:t>These</w:t>
      </w:r>
      <w:r w:rsidR="00DB6DDC" w:rsidRPr="005D05BB">
        <w:rPr>
          <w:rFonts w:ascii="Times New Roman" w:hAnsi="Times New Roman" w:cs="Times New Roman"/>
          <w:spacing w:val="-4"/>
          <w:sz w:val="24"/>
          <w:szCs w:val="24"/>
          <w:shd w:val="clear" w:color="auto" w:fill="FFFFFF"/>
        </w:rPr>
        <w:t xml:space="preserve"> </w:t>
      </w:r>
      <w:r w:rsidRPr="005D05BB">
        <w:rPr>
          <w:rFonts w:ascii="Times New Roman" w:hAnsi="Times New Roman" w:cs="Times New Roman"/>
          <w:spacing w:val="-4"/>
          <w:sz w:val="24"/>
          <w:szCs w:val="24"/>
          <w:shd w:val="clear" w:color="auto" w:fill="FFFFFF"/>
        </w:rPr>
        <w:t xml:space="preserve"> powerful techniques allow us to detect and physically map on interphase nuclei, chromatin fibers, or metaphase chromosomes probes derived from single copy genes to repetitive DNA sequences. </w:t>
      </w:r>
      <w:r w:rsidR="00BB49AF" w:rsidRPr="005D05BB">
        <w:rPr>
          <w:rFonts w:ascii="Times New Roman" w:hAnsi="Times New Roman" w:cs="Times New Roman"/>
          <w:b/>
          <w:bCs/>
          <w:i/>
          <w:iCs/>
          <w:spacing w:val="-4"/>
          <w:sz w:val="24"/>
          <w:szCs w:val="24"/>
          <w:shd w:val="clear" w:color="auto" w:fill="FFFFFF"/>
        </w:rPr>
        <w:t>(5</w:t>
      </w:r>
      <w:r w:rsidRPr="005D05BB">
        <w:rPr>
          <w:rFonts w:ascii="Times New Roman" w:hAnsi="Times New Roman" w:cs="Times New Roman"/>
          <w:b/>
          <w:bCs/>
          <w:i/>
          <w:iCs/>
          <w:spacing w:val="-4"/>
          <w:sz w:val="24"/>
          <w:szCs w:val="24"/>
          <w:shd w:val="clear" w:color="auto" w:fill="FFFFFF"/>
        </w:rPr>
        <w:t>).</w:t>
      </w:r>
    </w:p>
    <w:p w:rsidR="002D0ADC" w:rsidRPr="005D05BB" w:rsidRDefault="00E56E2B" w:rsidP="005D05BB">
      <w:pPr>
        <w:spacing w:after="0" w:line="240" w:lineRule="auto"/>
        <w:jc w:val="both"/>
        <w:rPr>
          <w:rFonts w:asciiTheme="majorBidi" w:hAnsiTheme="majorBidi" w:cstheme="majorBidi"/>
          <w:b/>
          <w:i/>
          <w:iCs/>
          <w:sz w:val="24"/>
          <w:szCs w:val="24"/>
          <w:lang w:val="en-GB"/>
        </w:rPr>
      </w:pPr>
      <w:r w:rsidRPr="005D05BB">
        <w:rPr>
          <w:rFonts w:asciiTheme="majorBidi" w:eastAsia="Times New Roman" w:hAnsiTheme="majorBidi" w:cstheme="majorBidi"/>
          <w:b/>
          <w:bCs/>
          <w:sz w:val="24"/>
          <w:szCs w:val="24"/>
        </w:rPr>
        <w:lastRenderedPageBreak/>
        <w:t>Aim of the work</w:t>
      </w:r>
      <w:r w:rsidR="008C509D" w:rsidRPr="005D05BB">
        <w:rPr>
          <w:rFonts w:asciiTheme="majorBidi" w:hAnsiTheme="majorBidi" w:cstheme="majorBidi"/>
          <w:b/>
          <w:i/>
          <w:iCs/>
          <w:sz w:val="24"/>
          <w:szCs w:val="24"/>
          <w:lang w:val="en-GB"/>
        </w:rPr>
        <w:t xml:space="preserve">: </w:t>
      </w:r>
      <w:r w:rsidR="00E025A3" w:rsidRPr="005D05BB">
        <w:rPr>
          <w:rFonts w:ascii="Times New Roman" w:eastAsia="Times New Roman" w:hAnsi="Times New Roman" w:cs="Times New Roman"/>
          <w:color w:val="000000"/>
          <w:sz w:val="24"/>
          <w:szCs w:val="24"/>
        </w:rPr>
        <w:t xml:space="preserve">This work aims to detect </w:t>
      </w:r>
      <w:r w:rsidR="00D249FC" w:rsidRPr="005D05BB">
        <w:rPr>
          <w:rFonts w:asciiTheme="majorBidi" w:eastAsia="Times New Roman" w:hAnsiTheme="majorBidi" w:cstheme="majorBidi"/>
          <w:color w:val="000000"/>
          <w:sz w:val="24"/>
          <w:szCs w:val="24"/>
        </w:rPr>
        <w:t xml:space="preserve">Ph chromosome </w:t>
      </w:r>
      <w:r w:rsidR="00E025A3" w:rsidRPr="005D05BB">
        <w:rPr>
          <w:rFonts w:ascii="Times New Roman" w:eastAsia="Times New Roman" w:hAnsi="Times New Roman" w:cs="Times New Roman"/>
          <w:color w:val="000000"/>
          <w:sz w:val="24"/>
          <w:szCs w:val="24"/>
        </w:rPr>
        <w:t>in acute lymphoblastic leukem</w:t>
      </w:r>
      <w:r w:rsidR="00CA17DA" w:rsidRPr="005D05BB">
        <w:rPr>
          <w:rFonts w:ascii="Times New Roman" w:eastAsia="Times New Roman" w:hAnsi="Times New Roman" w:cs="Times New Roman"/>
          <w:color w:val="000000"/>
          <w:sz w:val="24"/>
          <w:szCs w:val="24"/>
        </w:rPr>
        <w:t xml:space="preserve">ia patients, using </w:t>
      </w:r>
      <w:r w:rsidR="00E025A3" w:rsidRPr="005D05BB">
        <w:rPr>
          <w:rFonts w:ascii="Times New Roman" w:eastAsia="Times New Roman" w:hAnsi="Times New Roman" w:cs="Times New Roman"/>
          <w:color w:val="000000"/>
          <w:sz w:val="24"/>
          <w:szCs w:val="24"/>
        </w:rPr>
        <w:t>fluores</w:t>
      </w:r>
      <w:r w:rsidR="00CA17DA" w:rsidRPr="005D05BB">
        <w:rPr>
          <w:rFonts w:ascii="Times New Roman" w:eastAsia="Times New Roman" w:hAnsi="Times New Roman" w:cs="Times New Roman"/>
          <w:color w:val="000000"/>
          <w:sz w:val="24"/>
          <w:szCs w:val="24"/>
        </w:rPr>
        <w:t>cence in situ hybridization (</w:t>
      </w:r>
      <w:r w:rsidR="00E025A3" w:rsidRPr="005D05BB">
        <w:rPr>
          <w:rFonts w:ascii="Times New Roman" w:eastAsia="Times New Roman" w:hAnsi="Times New Roman" w:cs="Times New Roman"/>
          <w:color w:val="000000"/>
          <w:sz w:val="24"/>
          <w:szCs w:val="24"/>
        </w:rPr>
        <w:t>FISH), and to assess their relation with other standard prognostic factors and therapeutic response.</w:t>
      </w:r>
    </w:p>
    <w:p w:rsidR="00432B51" w:rsidRPr="005D05BB" w:rsidRDefault="00E56E2B" w:rsidP="005D05BB">
      <w:pPr>
        <w:spacing w:after="0" w:line="240" w:lineRule="auto"/>
        <w:jc w:val="both"/>
        <w:rPr>
          <w:rFonts w:asciiTheme="majorBidi" w:eastAsia="Times New Roman" w:hAnsiTheme="majorBidi" w:cstheme="majorBidi"/>
          <w:b/>
          <w:bCs/>
          <w:sz w:val="24"/>
          <w:szCs w:val="24"/>
        </w:rPr>
      </w:pPr>
      <w:r w:rsidRPr="005D05BB">
        <w:rPr>
          <w:rFonts w:asciiTheme="majorBidi" w:eastAsia="Times New Roman" w:hAnsiTheme="majorBidi" w:cstheme="majorBidi"/>
          <w:b/>
          <w:bCs/>
          <w:sz w:val="24"/>
          <w:szCs w:val="24"/>
        </w:rPr>
        <w:t>Patients and methods</w:t>
      </w:r>
      <w:r w:rsidR="008C509D" w:rsidRPr="005D05BB">
        <w:rPr>
          <w:rFonts w:asciiTheme="majorBidi" w:eastAsia="Times New Roman" w:hAnsiTheme="majorBidi" w:cstheme="majorBidi"/>
          <w:b/>
          <w:bCs/>
          <w:sz w:val="24"/>
          <w:szCs w:val="24"/>
        </w:rPr>
        <w:t xml:space="preserve">: </w:t>
      </w:r>
      <w:r w:rsidR="00432B51" w:rsidRPr="005D05BB">
        <w:rPr>
          <w:sz w:val="24"/>
          <w:szCs w:val="24"/>
        </w:rPr>
        <w:t xml:space="preserve"> </w:t>
      </w:r>
      <w:r w:rsidR="00432B51" w:rsidRPr="005D05BB">
        <w:rPr>
          <w:rFonts w:asciiTheme="majorBidi" w:hAnsiTheme="majorBidi" w:cstheme="majorBidi"/>
          <w:sz w:val="24"/>
          <w:szCs w:val="24"/>
        </w:rPr>
        <w:t xml:space="preserve">This study was carried out on 39 acute lymphoblastic leukemia (ALL) patients who were attending the hematology oncology clinics. All patients were subjected to the </w:t>
      </w:r>
      <w:r w:rsidR="00CA17DA" w:rsidRPr="005D05BB">
        <w:rPr>
          <w:rFonts w:asciiTheme="majorBidi" w:hAnsiTheme="majorBidi" w:cstheme="majorBidi"/>
          <w:sz w:val="24"/>
          <w:szCs w:val="24"/>
        </w:rPr>
        <w:t>following: History, clinical examination and l</w:t>
      </w:r>
      <w:r w:rsidR="00432B51" w:rsidRPr="005D05BB">
        <w:rPr>
          <w:rFonts w:asciiTheme="majorBidi" w:hAnsiTheme="majorBidi" w:cstheme="majorBidi"/>
          <w:sz w:val="24"/>
          <w:szCs w:val="24"/>
        </w:rPr>
        <w:t>aboratory investigations, whic</w:t>
      </w:r>
      <w:r w:rsidR="00861B41" w:rsidRPr="005D05BB">
        <w:rPr>
          <w:rFonts w:asciiTheme="majorBidi" w:hAnsiTheme="majorBidi" w:cstheme="majorBidi"/>
          <w:sz w:val="24"/>
          <w:szCs w:val="24"/>
        </w:rPr>
        <w:t>h included: CBC</w:t>
      </w:r>
      <w:r w:rsidR="00432B51" w:rsidRPr="005D05BB">
        <w:rPr>
          <w:rFonts w:asciiTheme="majorBidi" w:hAnsiTheme="majorBidi" w:cstheme="majorBidi"/>
          <w:sz w:val="24"/>
          <w:szCs w:val="24"/>
        </w:rPr>
        <w:t xml:space="preserve"> using LH750 (Beckman </w:t>
      </w:r>
      <w:r w:rsidR="00432B51" w:rsidRPr="005D05BB">
        <w:rPr>
          <w:rFonts w:asciiTheme="majorBidi" w:hAnsiTheme="majorBidi" w:cstheme="majorBidi"/>
          <w:sz w:val="24"/>
          <w:szCs w:val="24"/>
        </w:rPr>
        <w:lastRenderedPageBreak/>
        <w:t>Coulter)</w:t>
      </w:r>
      <w:r w:rsidR="00E14821" w:rsidRPr="005D05BB">
        <w:rPr>
          <w:rFonts w:asciiTheme="majorBidi" w:hAnsiTheme="majorBidi" w:cstheme="majorBidi"/>
          <w:sz w:val="24"/>
          <w:szCs w:val="24"/>
        </w:rPr>
        <w:t xml:space="preserve">, </w:t>
      </w:r>
      <w:r w:rsidR="00432B51" w:rsidRPr="005D05BB">
        <w:rPr>
          <w:rFonts w:asciiTheme="majorBidi" w:hAnsiTheme="majorBidi" w:cstheme="majorBidi"/>
          <w:sz w:val="24"/>
          <w:szCs w:val="24"/>
        </w:rPr>
        <w:t xml:space="preserve">Examination of Leishman stained P.BL. </w:t>
      </w:r>
      <w:r w:rsidR="00E14821" w:rsidRPr="005D05BB">
        <w:rPr>
          <w:rFonts w:asciiTheme="majorBidi" w:hAnsiTheme="majorBidi" w:cstheme="majorBidi"/>
          <w:sz w:val="24"/>
          <w:szCs w:val="24"/>
        </w:rPr>
        <w:t>,</w:t>
      </w:r>
      <w:r w:rsidR="00432B51" w:rsidRPr="005D05BB">
        <w:rPr>
          <w:rFonts w:asciiTheme="majorBidi" w:hAnsiTheme="majorBidi" w:cstheme="majorBidi"/>
          <w:sz w:val="24"/>
          <w:szCs w:val="24"/>
        </w:rPr>
        <w:t xml:space="preserve"> B.M.A and examination of Leishman stained smears. Immunophenotyping on BM or P.BL. samples, performed on EPICS</w:t>
      </w:r>
      <w:r w:rsidR="00861B41" w:rsidRPr="005D05BB">
        <w:rPr>
          <w:rFonts w:asciiTheme="majorBidi" w:hAnsiTheme="majorBidi" w:cstheme="majorBidi"/>
          <w:sz w:val="24"/>
          <w:szCs w:val="24"/>
        </w:rPr>
        <w:t xml:space="preserve"> XL Coulter Flow cytometer</w:t>
      </w:r>
      <w:r w:rsidR="00432B51" w:rsidRPr="005D05BB">
        <w:rPr>
          <w:rFonts w:asciiTheme="majorBidi" w:hAnsiTheme="majorBidi" w:cstheme="majorBidi"/>
          <w:sz w:val="24"/>
          <w:szCs w:val="24"/>
        </w:rPr>
        <w:t xml:space="preserve"> </w:t>
      </w:r>
      <w:r w:rsidR="00861B41" w:rsidRPr="005D05BB">
        <w:rPr>
          <w:rFonts w:asciiTheme="majorBidi" w:hAnsiTheme="majorBidi" w:cstheme="majorBidi"/>
          <w:sz w:val="24"/>
          <w:szCs w:val="24"/>
        </w:rPr>
        <w:t>a</w:t>
      </w:r>
      <w:r w:rsidR="00E14821" w:rsidRPr="005D05BB">
        <w:rPr>
          <w:rFonts w:asciiTheme="majorBidi" w:hAnsiTheme="majorBidi" w:cstheme="majorBidi"/>
          <w:sz w:val="24"/>
          <w:szCs w:val="24"/>
        </w:rPr>
        <w:t xml:space="preserve">nd </w:t>
      </w:r>
      <w:r w:rsidR="00432B51" w:rsidRPr="005D05BB">
        <w:rPr>
          <w:rFonts w:asciiTheme="majorBidi" w:hAnsiTheme="majorBidi" w:cstheme="majorBidi"/>
          <w:sz w:val="24"/>
          <w:szCs w:val="24"/>
        </w:rPr>
        <w:t xml:space="preserve"> Fluorescence in situ hybridization for</w:t>
      </w:r>
      <w:r w:rsidR="007A64B2" w:rsidRPr="005D05BB">
        <w:rPr>
          <w:rFonts w:asciiTheme="majorBidi" w:hAnsiTheme="majorBidi" w:cstheme="majorBidi"/>
          <w:sz w:val="24"/>
          <w:szCs w:val="24"/>
        </w:rPr>
        <w:t xml:space="preserve"> detection of t(9;22)(q34; q11)</w:t>
      </w:r>
    </w:p>
    <w:p w:rsidR="00DA7B07" w:rsidRPr="005D05BB" w:rsidRDefault="00916F01" w:rsidP="005D05BB">
      <w:pPr>
        <w:spacing w:after="0" w:line="240" w:lineRule="auto"/>
        <w:jc w:val="both"/>
        <w:rPr>
          <w:rFonts w:ascii="Times New Roman" w:hAnsi="Times New Roman" w:cs="Times New Roman"/>
          <w:b/>
          <w:bCs/>
          <w:sz w:val="24"/>
          <w:szCs w:val="24"/>
        </w:rPr>
      </w:pPr>
      <w:r w:rsidRPr="005D05BB">
        <w:rPr>
          <w:rFonts w:ascii="Times New Roman" w:hAnsi="Times New Roman" w:cs="Times New Roman"/>
          <w:b/>
          <w:bCs/>
          <w:sz w:val="24"/>
          <w:szCs w:val="24"/>
        </w:rPr>
        <w:t>Statistical Analysis Methods :</w:t>
      </w:r>
      <w:r w:rsidRPr="005D05BB">
        <w:rPr>
          <w:rFonts w:asciiTheme="majorBidi" w:hAnsiTheme="majorBidi" w:cstheme="majorBidi"/>
          <w:spacing w:val="-3"/>
          <w:sz w:val="24"/>
          <w:szCs w:val="24"/>
        </w:rPr>
        <w:t xml:space="preserve"> IBM SPSS statistics (V. 22.0, IBM Corp., USA, 2013) was used for data analysis. The probability of error at 0.05 was considered </w:t>
      </w:r>
      <w:r w:rsidRPr="005D05BB">
        <w:rPr>
          <w:rFonts w:asciiTheme="majorBidi" w:hAnsiTheme="majorBidi" w:cstheme="majorBidi"/>
          <w:sz w:val="24"/>
          <w:szCs w:val="24"/>
        </w:rPr>
        <w:t>significant</w:t>
      </w:r>
      <w:r w:rsidRPr="005D05BB">
        <w:rPr>
          <w:rFonts w:asciiTheme="majorBidi" w:hAnsiTheme="majorBidi" w:cstheme="majorBidi"/>
          <w:spacing w:val="-3"/>
          <w:sz w:val="24"/>
          <w:szCs w:val="24"/>
        </w:rPr>
        <w:t xml:space="preserve">, while at 0.01 and 0.001 are highly </w:t>
      </w:r>
      <w:r w:rsidRPr="005D05BB">
        <w:rPr>
          <w:rFonts w:asciiTheme="majorBidi" w:hAnsiTheme="majorBidi" w:cstheme="majorBidi"/>
          <w:sz w:val="24"/>
          <w:szCs w:val="24"/>
        </w:rPr>
        <w:t>significant</w:t>
      </w:r>
      <w:r w:rsidR="00CB55B7" w:rsidRPr="005D05BB">
        <w:rPr>
          <w:rFonts w:asciiTheme="majorBidi" w:hAnsiTheme="majorBidi" w:cstheme="majorBidi"/>
          <w:sz w:val="24"/>
          <w:szCs w:val="24"/>
        </w:rPr>
        <w:t>.</w:t>
      </w:r>
    </w:p>
    <w:p w:rsidR="005D05BB" w:rsidRDefault="005D05BB" w:rsidP="005D05BB">
      <w:pPr>
        <w:spacing w:after="0" w:line="240" w:lineRule="auto"/>
        <w:jc w:val="both"/>
        <w:rPr>
          <w:rFonts w:asciiTheme="majorBidi" w:eastAsia="Times New Roman" w:hAnsiTheme="majorBidi" w:cstheme="majorBidi"/>
          <w:b/>
          <w:bCs/>
          <w:sz w:val="24"/>
          <w:szCs w:val="24"/>
        </w:rPr>
        <w:sectPr w:rsidR="005D05BB" w:rsidSect="00E14821">
          <w:type w:val="continuous"/>
          <w:pgSz w:w="12240" w:h="15840"/>
          <w:pgMar w:top="1440" w:right="1800" w:bottom="1440" w:left="1800" w:header="708" w:footer="708" w:gutter="0"/>
          <w:cols w:num="2" w:space="708"/>
          <w:docGrid w:linePitch="360"/>
        </w:sectPr>
      </w:pPr>
    </w:p>
    <w:p w:rsidR="005D05BB" w:rsidRPr="005D05BB" w:rsidRDefault="005D05BB" w:rsidP="005D05BB">
      <w:pPr>
        <w:spacing w:after="0" w:line="240" w:lineRule="auto"/>
        <w:jc w:val="both"/>
        <w:rPr>
          <w:rFonts w:asciiTheme="majorBidi" w:eastAsia="Times New Roman" w:hAnsiTheme="majorBidi" w:cstheme="majorBidi"/>
          <w:b/>
          <w:bCs/>
          <w:sz w:val="16"/>
          <w:szCs w:val="16"/>
        </w:rPr>
      </w:pPr>
    </w:p>
    <w:p w:rsidR="00E56E2B" w:rsidRPr="005D05BB" w:rsidRDefault="00E56E2B" w:rsidP="005D05BB">
      <w:pPr>
        <w:spacing w:after="0" w:line="240" w:lineRule="auto"/>
        <w:jc w:val="both"/>
        <w:rPr>
          <w:rFonts w:asciiTheme="majorBidi" w:eastAsia="Times New Roman" w:hAnsiTheme="majorBidi" w:cstheme="majorBidi"/>
          <w:b/>
          <w:bCs/>
          <w:sz w:val="28"/>
          <w:szCs w:val="28"/>
        </w:rPr>
      </w:pPr>
      <w:r w:rsidRPr="005D05BB">
        <w:rPr>
          <w:rFonts w:asciiTheme="majorBidi" w:eastAsia="Times New Roman" w:hAnsiTheme="majorBidi" w:cstheme="majorBidi"/>
          <w:b/>
          <w:bCs/>
          <w:sz w:val="28"/>
          <w:szCs w:val="28"/>
        </w:rPr>
        <w:t>Results</w:t>
      </w:r>
    </w:p>
    <w:p w:rsidR="0038428A" w:rsidRPr="005D05BB" w:rsidRDefault="0038428A" w:rsidP="005D05BB">
      <w:pPr>
        <w:spacing w:after="0" w:line="240" w:lineRule="auto"/>
        <w:jc w:val="both"/>
        <w:rPr>
          <w:rFonts w:ascii="Times New Roman" w:hAnsi="Times New Roman" w:cs="Times New Roman"/>
          <w:caps/>
          <w:sz w:val="24"/>
          <w:szCs w:val="24"/>
          <w:u w:val="single"/>
        </w:rPr>
      </w:pPr>
      <w:r w:rsidRPr="005D05BB">
        <w:rPr>
          <w:rFonts w:ascii="Times New Roman" w:hAnsi="Times New Roman" w:cs="Times New Roman"/>
          <w:sz w:val="24"/>
          <w:szCs w:val="24"/>
          <w:u w:val="single"/>
        </w:rPr>
        <w:t>Clinical findings</w:t>
      </w:r>
      <w:r w:rsidRPr="005D05BB">
        <w:rPr>
          <w:rFonts w:ascii="Times New Roman" w:hAnsi="Times New Roman" w:cs="Times New Roman"/>
          <w:caps/>
          <w:sz w:val="24"/>
          <w:szCs w:val="24"/>
          <w:u w:val="single"/>
        </w:rPr>
        <w:t>:</w:t>
      </w:r>
      <w:r w:rsidR="008C509D" w:rsidRPr="005D05BB">
        <w:rPr>
          <w:rFonts w:ascii="Times New Roman" w:hAnsi="Times New Roman" w:cs="Times New Roman"/>
          <w:caps/>
          <w:sz w:val="24"/>
          <w:szCs w:val="24"/>
          <w:u w:val="single"/>
        </w:rPr>
        <w:t xml:space="preserve"> </w:t>
      </w:r>
      <w:r w:rsidRPr="005D05BB">
        <w:rPr>
          <w:rFonts w:ascii="Times New Roman" w:hAnsi="Times New Roman" w:cs="Times New Roman"/>
          <w:sz w:val="24"/>
          <w:szCs w:val="24"/>
        </w:rPr>
        <w:t>The current study was carried out on  39 newly diagnosed adult ALL patients. Out of all patients; 24 (61.5%) were males and 15 (38.5%) were females with male to female ratio of  (1.6:1).  19 (48.7%)  patients presented with hepatomegaly , 20 (51.3%) patients presented with splenomegaly, 24 (61.5%)  patients presented with lymphadenopathy and 2 (5.1%) patients presented with CNS infiltration.</w:t>
      </w:r>
    </w:p>
    <w:p w:rsidR="0038428A" w:rsidRPr="005D05BB" w:rsidRDefault="0038428A" w:rsidP="005D05BB">
      <w:pPr>
        <w:spacing w:after="0" w:line="240" w:lineRule="auto"/>
        <w:jc w:val="both"/>
        <w:rPr>
          <w:rFonts w:ascii="Times New Roman" w:hAnsi="Times New Roman" w:cs="Times New Roman"/>
          <w:caps/>
          <w:sz w:val="24"/>
          <w:szCs w:val="24"/>
          <w:u w:val="single"/>
        </w:rPr>
      </w:pPr>
      <w:r w:rsidRPr="005D05BB">
        <w:rPr>
          <w:rFonts w:ascii="Times New Roman" w:hAnsi="Times New Roman" w:cs="Times New Roman"/>
          <w:sz w:val="24"/>
          <w:szCs w:val="24"/>
          <w:u w:val="single"/>
        </w:rPr>
        <w:t>Laboratory findings:</w:t>
      </w:r>
      <w:r w:rsidRPr="005D05BB">
        <w:rPr>
          <w:rFonts w:asciiTheme="majorBidi" w:hAnsiTheme="majorBidi" w:cstheme="majorBidi"/>
          <w:sz w:val="24"/>
          <w:szCs w:val="24"/>
        </w:rPr>
        <w:t xml:space="preserve"> </w:t>
      </w:r>
      <w:r w:rsidR="00861B41" w:rsidRPr="005D05BB">
        <w:rPr>
          <w:rFonts w:ascii="Times New Roman" w:hAnsi="Times New Roman" w:cs="Times New Roman"/>
          <w:sz w:val="24"/>
          <w:szCs w:val="24"/>
        </w:rPr>
        <w:t xml:space="preserve">1-Hemoglobin level (Hb) </w:t>
      </w:r>
      <w:r w:rsidRPr="005D05BB">
        <w:rPr>
          <w:rFonts w:ascii="Times New Roman" w:hAnsi="Times New Roman" w:cs="Times New Roman"/>
          <w:sz w:val="24"/>
          <w:szCs w:val="24"/>
        </w:rPr>
        <w:t>ranged from 4.6 to 10.1g/dl with a mean value of (7.35±1.6) g/dl. 2-Total leucocytic count (TLC): ranged from 2.6 to 101x109/L with a median value of (51.8±30.2)x109/L. 3-Platelets count: ranged from 33 to 128x109/L with a mean value of  (80.5±26.7)x109/L. 4-Absolute peripheral blood blast: ranged from 2 to 61x109/L with a mean value of  (31.5)x109/L.</w:t>
      </w:r>
      <w:r w:rsidR="00E14821" w:rsidRPr="005D05BB">
        <w:rPr>
          <w:rFonts w:ascii="Times New Roman" w:hAnsi="Times New Roman" w:cs="Times New Roman"/>
          <w:sz w:val="24"/>
          <w:szCs w:val="24"/>
        </w:rPr>
        <w:t xml:space="preserve"> </w:t>
      </w:r>
      <w:r w:rsidR="00D07A7C" w:rsidRPr="005D05BB">
        <w:rPr>
          <w:rFonts w:ascii="Times New Roman" w:hAnsi="Times New Roman" w:cs="Times New Roman"/>
          <w:sz w:val="24"/>
          <w:szCs w:val="24"/>
        </w:rPr>
        <w:t>5-</w:t>
      </w:r>
      <w:r w:rsidR="00861B41" w:rsidRPr="005D05BB">
        <w:rPr>
          <w:rFonts w:ascii="Times New Roman" w:hAnsi="Times New Roman" w:cs="Times New Roman"/>
          <w:sz w:val="24"/>
          <w:szCs w:val="24"/>
        </w:rPr>
        <w:t>B.M.E</w:t>
      </w:r>
      <w:r w:rsidRPr="005D05BB">
        <w:rPr>
          <w:rFonts w:ascii="Times New Roman" w:hAnsi="Times New Roman" w:cs="Times New Roman"/>
          <w:sz w:val="24"/>
          <w:szCs w:val="24"/>
        </w:rPr>
        <w:t>:</w:t>
      </w:r>
      <w:r w:rsidR="00D07A7C" w:rsidRPr="005D05BB">
        <w:rPr>
          <w:rFonts w:ascii="Times New Roman" w:hAnsi="Times New Roman" w:cs="Times New Roman"/>
          <w:sz w:val="24"/>
          <w:szCs w:val="24"/>
        </w:rPr>
        <w:t xml:space="preserve"> </w:t>
      </w:r>
      <w:r w:rsidRPr="005D05BB">
        <w:rPr>
          <w:rFonts w:ascii="Times New Roman" w:hAnsi="Times New Roman" w:cs="Times New Roman"/>
          <w:sz w:val="24"/>
          <w:szCs w:val="24"/>
        </w:rPr>
        <w:t>According to WHO classification, The absolute BM blast ranged from 24 to 98x10</w:t>
      </w:r>
      <w:r w:rsidRPr="005D05BB">
        <w:rPr>
          <w:rFonts w:ascii="Times New Roman" w:hAnsi="Times New Roman" w:cs="Times New Roman"/>
          <w:sz w:val="24"/>
          <w:szCs w:val="24"/>
          <w:vertAlign w:val="superscript"/>
        </w:rPr>
        <w:t>9</w:t>
      </w:r>
      <w:r w:rsidRPr="005D05BB">
        <w:rPr>
          <w:rFonts w:ascii="Times New Roman" w:hAnsi="Times New Roman" w:cs="Times New Roman"/>
          <w:sz w:val="24"/>
          <w:szCs w:val="24"/>
        </w:rPr>
        <w:t>/L with a mean value of  (66±21)x10</w:t>
      </w:r>
      <w:r w:rsidRPr="005D05BB">
        <w:rPr>
          <w:rFonts w:ascii="Times New Roman" w:hAnsi="Times New Roman" w:cs="Times New Roman"/>
          <w:sz w:val="24"/>
          <w:szCs w:val="24"/>
          <w:vertAlign w:val="superscript"/>
        </w:rPr>
        <w:t>9</w:t>
      </w:r>
      <w:r w:rsidRPr="005D05BB">
        <w:rPr>
          <w:rFonts w:ascii="Times New Roman" w:hAnsi="Times New Roman" w:cs="Times New Roman"/>
          <w:sz w:val="24"/>
          <w:szCs w:val="24"/>
        </w:rPr>
        <w:t>/L.</w:t>
      </w:r>
      <w:r w:rsidR="00861B41" w:rsidRPr="005D05BB">
        <w:rPr>
          <w:rFonts w:ascii="Times New Roman" w:hAnsi="Times New Roman" w:cs="Times New Roman"/>
          <w:b/>
          <w:bCs/>
          <w:sz w:val="24"/>
          <w:szCs w:val="24"/>
        </w:rPr>
        <w:t xml:space="preserve"> </w:t>
      </w:r>
      <w:r w:rsidR="00D07A7C" w:rsidRPr="005D05BB">
        <w:rPr>
          <w:rFonts w:ascii="Times New Roman" w:hAnsi="Times New Roman" w:cs="Times New Roman"/>
          <w:sz w:val="24"/>
          <w:szCs w:val="24"/>
        </w:rPr>
        <w:t>6-</w:t>
      </w:r>
      <w:r w:rsidRPr="005D05BB">
        <w:rPr>
          <w:rFonts w:ascii="Times New Roman" w:hAnsi="Times New Roman" w:cs="Times New Roman"/>
          <w:sz w:val="24"/>
          <w:szCs w:val="24"/>
        </w:rPr>
        <w:t>Immunophenotyping (IPT):</w:t>
      </w:r>
      <w:r w:rsidR="00861B41" w:rsidRPr="005D05BB">
        <w:rPr>
          <w:rFonts w:ascii="Times New Roman" w:hAnsi="Times New Roman" w:cs="Times New Roman"/>
          <w:sz w:val="24"/>
          <w:szCs w:val="24"/>
        </w:rPr>
        <w:t xml:space="preserve"> 35</w:t>
      </w:r>
      <w:r w:rsidR="00D07A7C" w:rsidRPr="005D05BB">
        <w:rPr>
          <w:rFonts w:ascii="Times New Roman" w:hAnsi="Times New Roman" w:cs="Times New Roman"/>
          <w:sz w:val="24"/>
          <w:szCs w:val="24"/>
        </w:rPr>
        <w:t xml:space="preserve"> of</w:t>
      </w:r>
      <w:r w:rsidRPr="005D05BB">
        <w:rPr>
          <w:rFonts w:ascii="Times New Roman" w:hAnsi="Times New Roman" w:cs="Times New Roman"/>
          <w:sz w:val="24"/>
          <w:szCs w:val="24"/>
        </w:rPr>
        <w:t xml:space="preserve"> patients were expr</w:t>
      </w:r>
      <w:r w:rsidR="00861B41" w:rsidRPr="005D05BB">
        <w:rPr>
          <w:rFonts w:ascii="Times New Roman" w:hAnsi="Times New Roman" w:cs="Times New Roman"/>
          <w:sz w:val="24"/>
          <w:szCs w:val="24"/>
        </w:rPr>
        <w:t xml:space="preserve">essing CD10. Among them CD13 or </w:t>
      </w:r>
      <w:r w:rsidR="00CA17DA" w:rsidRPr="005D05BB">
        <w:rPr>
          <w:rFonts w:ascii="Times New Roman" w:hAnsi="Times New Roman" w:cs="Times New Roman"/>
          <w:sz w:val="24"/>
          <w:szCs w:val="24"/>
        </w:rPr>
        <w:t>33 were positive in 6 patients .</w:t>
      </w:r>
    </w:p>
    <w:p w:rsidR="0038428A" w:rsidRPr="005D05BB" w:rsidRDefault="0038428A" w:rsidP="005D05BB">
      <w:pPr>
        <w:spacing w:after="0" w:line="240" w:lineRule="auto"/>
        <w:jc w:val="both"/>
        <w:rPr>
          <w:rFonts w:ascii="Times New Roman" w:hAnsi="Times New Roman" w:cs="Times New Roman"/>
          <w:sz w:val="24"/>
          <w:szCs w:val="24"/>
          <w:u w:val="single"/>
        </w:rPr>
      </w:pPr>
      <w:r w:rsidRPr="005D05BB">
        <w:rPr>
          <w:rFonts w:ascii="Times New Roman" w:hAnsi="Times New Roman" w:cs="Times New Roman"/>
          <w:sz w:val="24"/>
          <w:szCs w:val="24"/>
          <w:u w:val="single"/>
        </w:rPr>
        <w:t>Fluorescence in Situ Hybridization Analysis:</w:t>
      </w:r>
    </w:p>
    <w:p w:rsidR="0038428A" w:rsidRPr="005D05BB" w:rsidRDefault="0038428A" w:rsidP="005D05BB">
      <w:pPr>
        <w:spacing w:after="0" w:line="240" w:lineRule="auto"/>
        <w:ind w:firstLine="284"/>
        <w:jc w:val="both"/>
        <w:rPr>
          <w:rFonts w:ascii="Times New Roman" w:hAnsi="Times New Roman" w:cs="Times New Roman"/>
          <w:sz w:val="24"/>
          <w:szCs w:val="24"/>
        </w:rPr>
      </w:pPr>
      <w:r w:rsidRPr="005D05BB">
        <w:rPr>
          <w:rFonts w:ascii="Times New Roman" w:hAnsi="Times New Roman" w:cs="Times New Roman"/>
          <w:sz w:val="24"/>
          <w:szCs w:val="24"/>
        </w:rPr>
        <w:t>Metaphase and/or interphase FISH analysis were successfully performed on 39 BM and/or P.BL. samples and revealed the following:</w:t>
      </w:r>
    </w:p>
    <w:p w:rsidR="0038428A" w:rsidRPr="005D05BB" w:rsidRDefault="0038428A" w:rsidP="005D05BB">
      <w:pPr>
        <w:spacing w:after="0" w:line="240" w:lineRule="auto"/>
        <w:jc w:val="both"/>
        <w:rPr>
          <w:rFonts w:ascii="Times New Roman" w:hAnsi="Times New Roman" w:cs="Times New Roman"/>
          <w:sz w:val="24"/>
          <w:szCs w:val="24"/>
          <w:shd w:val="clear" w:color="auto" w:fill="FFFFFF"/>
        </w:rPr>
      </w:pPr>
      <w:r w:rsidRPr="005D05BB">
        <w:rPr>
          <w:rFonts w:ascii="Times New Roman" w:hAnsi="Times New Roman" w:cs="Times New Roman"/>
          <w:sz w:val="24"/>
          <w:szCs w:val="24"/>
          <w:shd w:val="clear" w:color="auto" w:fill="FFFFFF"/>
        </w:rPr>
        <w:t>Structural aberrations:</w:t>
      </w:r>
      <w:r w:rsidR="00D07A7C" w:rsidRPr="005D05BB">
        <w:rPr>
          <w:rFonts w:ascii="Times New Roman" w:hAnsi="Times New Roman" w:cs="Times New Roman"/>
          <w:sz w:val="24"/>
          <w:szCs w:val="24"/>
          <w:shd w:val="clear" w:color="auto" w:fill="FFFFFF"/>
        </w:rPr>
        <w:t xml:space="preserve"> </w:t>
      </w:r>
      <w:r w:rsidRPr="005D05BB">
        <w:rPr>
          <w:rFonts w:ascii="Times New Roman" w:hAnsi="Times New Roman" w:cs="Times New Roman"/>
          <w:sz w:val="24"/>
          <w:szCs w:val="24"/>
        </w:rPr>
        <w:t>Positive results for t(9;22) was encountered in 11 (28.2%)  patients, 11(q23) was detected in 2 (5.1%)  patients, t(1;19) was detected in 1 (2.5%) patient</w:t>
      </w:r>
      <w:r w:rsidR="00861B41" w:rsidRPr="005D05BB">
        <w:rPr>
          <w:rFonts w:ascii="Times New Roman" w:hAnsi="Times New Roman" w:cs="Times New Roman"/>
          <w:sz w:val="24"/>
          <w:szCs w:val="24"/>
        </w:rPr>
        <w:t>.</w:t>
      </w:r>
    </w:p>
    <w:p w:rsidR="00C46433" w:rsidRPr="005D05BB" w:rsidRDefault="00C46433" w:rsidP="005D05BB">
      <w:pPr>
        <w:spacing w:after="0" w:line="240" w:lineRule="auto"/>
        <w:jc w:val="both"/>
        <w:rPr>
          <w:rFonts w:ascii="Times New Roman" w:hAnsi="Times New Roman" w:cs="Times New Roman"/>
          <w:spacing w:val="-4"/>
          <w:sz w:val="24"/>
          <w:szCs w:val="24"/>
        </w:rPr>
      </w:pPr>
      <w:r w:rsidRPr="005D05BB">
        <w:rPr>
          <w:rFonts w:ascii="Times New Roman" w:hAnsi="Times New Roman" w:cs="Times New Roman"/>
          <w:b/>
          <w:bCs/>
          <w:spacing w:val="-4"/>
          <w:sz w:val="24"/>
          <w:szCs w:val="24"/>
        </w:rPr>
        <w:t>Results of ALL patients’t(9;22) in relation to different prognostic factors:</w:t>
      </w:r>
      <w:r w:rsidR="008C509D" w:rsidRPr="005D05BB">
        <w:rPr>
          <w:rFonts w:ascii="Times New Roman" w:hAnsi="Times New Roman" w:cs="Times New Roman"/>
          <w:spacing w:val="-4"/>
          <w:sz w:val="24"/>
          <w:szCs w:val="24"/>
        </w:rPr>
        <w:t xml:space="preserve"> </w:t>
      </w:r>
      <w:r w:rsidRPr="005D05BB">
        <w:rPr>
          <w:rFonts w:asciiTheme="majorBidi" w:hAnsiTheme="majorBidi" w:cstheme="majorBidi"/>
          <w:sz w:val="24"/>
          <w:szCs w:val="24"/>
        </w:rPr>
        <w:t>Showed  significant association (p&lt;0.05) of ph chromosome +ve cases with age  &gt;35 years, hepatosplenomegaly, absence of lymphadenopathy, TLC ≥50X10</w:t>
      </w:r>
      <w:r w:rsidRPr="005D05BB">
        <w:rPr>
          <w:rFonts w:asciiTheme="majorBidi" w:hAnsiTheme="majorBidi" w:cstheme="majorBidi"/>
          <w:sz w:val="24"/>
          <w:szCs w:val="24"/>
          <w:vertAlign w:val="superscript"/>
        </w:rPr>
        <w:t>9</w:t>
      </w:r>
      <w:r w:rsidR="00861B41" w:rsidRPr="005D05BB">
        <w:rPr>
          <w:rFonts w:asciiTheme="majorBidi" w:hAnsiTheme="majorBidi" w:cstheme="majorBidi"/>
          <w:sz w:val="24"/>
          <w:szCs w:val="24"/>
        </w:rPr>
        <w:t xml:space="preserve">/L, </w:t>
      </w:r>
      <w:r w:rsidRPr="005D05BB">
        <w:rPr>
          <w:rFonts w:asciiTheme="majorBidi" w:hAnsiTheme="majorBidi" w:cstheme="majorBidi"/>
          <w:sz w:val="24"/>
          <w:szCs w:val="24"/>
        </w:rPr>
        <w:t xml:space="preserve"> absolute P.Bl blasts ≥4.4X10</w:t>
      </w:r>
      <w:r w:rsidRPr="005D05BB">
        <w:rPr>
          <w:rFonts w:asciiTheme="majorBidi" w:hAnsiTheme="majorBidi" w:cstheme="majorBidi"/>
          <w:sz w:val="24"/>
          <w:szCs w:val="24"/>
          <w:vertAlign w:val="superscript"/>
        </w:rPr>
        <w:t>9</w:t>
      </w:r>
      <w:r w:rsidR="00861B41" w:rsidRPr="005D05BB">
        <w:rPr>
          <w:rFonts w:asciiTheme="majorBidi" w:hAnsiTheme="majorBidi" w:cstheme="majorBidi"/>
          <w:sz w:val="24"/>
          <w:szCs w:val="24"/>
        </w:rPr>
        <w:t>/L and immunophenotyping</w:t>
      </w:r>
      <w:r w:rsidRPr="005D05BB">
        <w:rPr>
          <w:rFonts w:asciiTheme="majorBidi" w:hAnsiTheme="majorBidi" w:cstheme="majorBidi"/>
          <w:sz w:val="24"/>
          <w:szCs w:val="24"/>
        </w:rPr>
        <w:t xml:space="preserve">. On the other hand, gender, CNS infilteration, Hb and platelet count showed non significant statistical difference (p&gt;0.05) </w:t>
      </w:r>
      <w:r w:rsidR="006E3AFC" w:rsidRPr="005D05BB">
        <w:rPr>
          <w:rFonts w:ascii="Times New Roman" w:hAnsi="Times New Roman" w:cs="Times New Roman"/>
          <w:b/>
          <w:bCs/>
          <w:spacing w:val="-4"/>
          <w:sz w:val="24"/>
          <w:szCs w:val="24"/>
        </w:rPr>
        <w:t>(Table 1</w:t>
      </w:r>
      <w:r w:rsidRPr="005D05BB">
        <w:rPr>
          <w:rFonts w:ascii="Times New Roman" w:hAnsi="Times New Roman" w:cs="Times New Roman"/>
          <w:b/>
          <w:bCs/>
          <w:spacing w:val="-4"/>
          <w:sz w:val="24"/>
          <w:szCs w:val="24"/>
        </w:rPr>
        <w:t>).</w:t>
      </w:r>
    </w:p>
    <w:p w:rsidR="00E14821" w:rsidRPr="005D05BB" w:rsidRDefault="00E14821" w:rsidP="005D05BB">
      <w:pPr>
        <w:spacing w:after="0" w:line="240" w:lineRule="auto"/>
        <w:jc w:val="both"/>
        <w:rPr>
          <w:rFonts w:ascii="Times New Roman" w:hAnsi="Times New Roman" w:cs="Times New Roman"/>
          <w:b/>
          <w:bCs/>
          <w:spacing w:val="-4"/>
          <w:sz w:val="24"/>
          <w:szCs w:val="24"/>
        </w:rPr>
        <w:sectPr w:rsidR="00E14821" w:rsidRPr="005D05BB" w:rsidSect="005D05BB">
          <w:type w:val="continuous"/>
          <w:pgSz w:w="12240" w:h="15840"/>
          <w:pgMar w:top="1440" w:right="1800" w:bottom="1440" w:left="1800" w:header="708" w:footer="708" w:gutter="0"/>
          <w:cols w:space="708"/>
          <w:docGrid w:linePitch="360"/>
        </w:sectPr>
      </w:pPr>
    </w:p>
    <w:p w:rsidR="001F4EF8" w:rsidRPr="005D05BB" w:rsidRDefault="001F4EF8" w:rsidP="005D05BB">
      <w:pPr>
        <w:spacing w:after="0" w:line="240" w:lineRule="auto"/>
        <w:jc w:val="both"/>
        <w:rPr>
          <w:rFonts w:ascii="Times New Roman" w:hAnsi="Times New Roman" w:cs="Times New Roman"/>
          <w:b/>
          <w:bCs/>
          <w:spacing w:val="-4"/>
          <w:sz w:val="24"/>
          <w:szCs w:val="24"/>
        </w:rPr>
      </w:pPr>
    </w:p>
    <w:p w:rsidR="001F4EF8" w:rsidRDefault="001F4EF8" w:rsidP="006E3AFC">
      <w:pPr>
        <w:spacing w:after="120" w:line="420" w:lineRule="atLeast"/>
        <w:rPr>
          <w:rFonts w:ascii="Times New Roman" w:hAnsi="Times New Roman" w:cs="Times New Roman"/>
          <w:b/>
          <w:bCs/>
          <w:spacing w:val="-4"/>
        </w:rPr>
      </w:pPr>
    </w:p>
    <w:p w:rsidR="005D05BB" w:rsidRDefault="005D05BB" w:rsidP="006E3AFC">
      <w:pPr>
        <w:spacing w:after="120" w:line="420" w:lineRule="atLeast"/>
        <w:rPr>
          <w:rFonts w:ascii="Times New Roman" w:hAnsi="Times New Roman" w:cs="Times New Roman"/>
          <w:b/>
          <w:bCs/>
          <w:spacing w:val="-4"/>
        </w:rPr>
        <w:sectPr w:rsidR="005D05BB" w:rsidSect="005D05BB">
          <w:type w:val="continuous"/>
          <w:pgSz w:w="12240" w:h="15840"/>
          <w:pgMar w:top="1440" w:right="1800" w:bottom="1440" w:left="1800" w:header="708" w:footer="708" w:gutter="0"/>
          <w:cols w:space="708"/>
          <w:docGrid w:linePitch="360"/>
        </w:sectPr>
      </w:pPr>
    </w:p>
    <w:p w:rsidR="001F4EF8" w:rsidRDefault="001F4EF8" w:rsidP="006E3AFC">
      <w:pPr>
        <w:spacing w:after="120" w:line="420" w:lineRule="atLeast"/>
        <w:rPr>
          <w:rFonts w:ascii="Times New Roman" w:hAnsi="Times New Roman" w:cs="Times New Roman"/>
          <w:b/>
          <w:bCs/>
          <w:spacing w:val="-4"/>
        </w:rPr>
      </w:pPr>
    </w:p>
    <w:p w:rsidR="006E3AFC" w:rsidRPr="004077DD" w:rsidRDefault="006E3AFC" w:rsidP="006E3AFC">
      <w:pPr>
        <w:spacing w:after="120" w:line="420" w:lineRule="atLeast"/>
        <w:rPr>
          <w:rFonts w:ascii="Times New Roman" w:hAnsi="Times New Roman" w:cs="Times New Roman"/>
          <w:spacing w:val="-4"/>
        </w:rPr>
      </w:pPr>
      <w:r w:rsidRPr="004077DD">
        <w:rPr>
          <w:rFonts w:ascii="Times New Roman" w:hAnsi="Times New Roman" w:cs="Times New Roman"/>
          <w:b/>
          <w:bCs/>
          <w:spacing w:val="-4"/>
        </w:rPr>
        <w:lastRenderedPageBreak/>
        <w:t>Table(1):</w:t>
      </w:r>
      <w:r w:rsidRPr="004077DD">
        <w:rPr>
          <w:rFonts w:ascii="Times New Roman" w:hAnsi="Times New Roman" w:cs="Times New Roman"/>
          <w:spacing w:val="-4"/>
        </w:rPr>
        <w:t xml:space="preserve">  Results of ALL patients’t(9;22) in relation to different prognostic factors:</w:t>
      </w:r>
    </w:p>
    <w:tbl>
      <w:tblPr>
        <w:tblW w:w="4909" w:type="pct"/>
        <w:jc w:val="center"/>
        <w:tblInd w:w="16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tblPr>
      <w:tblGrid>
        <w:gridCol w:w="1705"/>
        <w:gridCol w:w="1310"/>
        <w:gridCol w:w="592"/>
        <w:gridCol w:w="916"/>
        <w:gridCol w:w="482"/>
        <w:gridCol w:w="770"/>
        <w:gridCol w:w="590"/>
        <w:gridCol w:w="779"/>
        <w:gridCol w:w="854"/>
        <w:gridCol w:w="697"/>
      </w:tblGrid>
      <w:tr w:rsidR="006E3AFC" w:rsidRPr="00E14821" w:rsidTr="005D05BB">
        <w:trPr>
          <w:cantSplit/>
          <w:trHeight w:val="450"/>
          <w:jc w:val="center"/>
        </w:trPr>
        <w:tc>
          <w:tcPr>
            <w:tcW w:w="980" w:type="pct"/>
            <w:vMerge w:val="restart"/>
            <w:tcBorders>
              <w:top w:val="thinThickSmallGap" w:sz="12" w:space="0" w:color="auto"/>
              <w:bottom w:val="single" w:sz="4" w:space="0" w:color="auto"/>
            </w:tcBorders>
            <w:shd w:val="clear" w:color="auto" w:fill="D9D9D9"/>
            <w:textDirection w:val="btLr"/>
            <w:vAlign w:val="center"/>
          </w:tcPr>
          <w:p w:rsidR="006E3AFC" w:rsidRPr="00E14821" w:rsidRDefault="006E3AFC" w:rsidP="007A64B2">
            <w:pPr>
              <w:spacing w:after="0" w:line="240" w:lineRule="auto"/>
              <w:jc w:val="center"/>
              <w:rPr>
                <w:rFonts w:ascii="Times New Roman" w:hAnsi="Times New Roman" w:cs="Times New Roman"/>
                <w:b/>
                <w:bCs/>
                <w:sz w:val="18"/>
                <w:szCs w:val="18"/>
              </w:rPr>
            </w:pPr>
            <w:r w:rsidRPr="00E14821">
              <w:rPr>
                <w:rFonts w:ascii="Times New Roman" w:hAnsi="Times New Roman" w:cs="Times New Roman"/>
                <w:b/>
                <w:bCs/>
                <w:sz w:val="18"/>
                <w:szCs w:val="18"/>
              </w:rPr>
              <w:t>Parameter</w:t>
            </w:r>
          </w:p>
        </w:tc>
        <w:tc>
          <w:tcPr>
            <w:tcW w:w="753" w:type="pct"/>
            <w:vMerge w:val="restart"/>
            <w:tcBorders>
              <w:top w:val="thinThickSmallGap" w:sz="12" w:space="0" w:color="auto"/>
              <w:bottom w:val="single" w:sz="4" w:space="0" w:color="auto"/>
            </w:tcBorders>
            <w:shd w:val="clear" w:color="auto" w:fill="D9D9D9"/>
            <w:textDirection w:val="btLr"/>
            <w:vAlign w:val="center"/>
          </w:tcPr>
          <w:p w:rsidR="006E3AFC" w:rsidRPr="00E14821" w:rsidRDefault="006E3AFC" w:rsidP="007A64B2">
            <w:pPr>
              <w:spacing w:after="0" w:line="240" w:lineRule="auto"/>
              <w:jc w:val="center"/>
              <w:rPr>
                <w:rFonts w:ascii="Times New Roman" w:hAnsi="Times New Roman" w:cs="Times New Roman"/>
                <w:b/>
                <w:bCs/>
                <w:sz w:val="18"/>
                <w:szCs w:val="18"/>
              </w:rPr>
            </w:pPr>
            <w:r w:rsidRPr="00E14821">
              <w:rPr>
                <w:rFonts w:ascii="Times New Roman" w:hAnsi="Times New Roman" w:cs="Times New Roman"/>
                <w:b/>
                <w:bCs/>
                <w:sz w:val="18"/>
                <w:szCs w:val="18"/>
              </w:rPr>
              <w:t>Groups</w:t>
            </w:r>
          </w:p>
        </w:tc>
        <w:tc>
          <w:tcPr>
            <w:tcW w:w="340" w:type="pct"/>
            <w:vMerge w:val="restart"/>
            <w:tcBorders>
              <w:top w:val="thinThickSmallGap" w:sz="12" w:space="0" w:color="auto"/>
              <w:bottom w:val="single" w:sz="4" w:space="0" w:color="auto"/>
            </w:tcBorders>
            <w:shd w:val="clear" w:color="auto" w:fill="D9D9D9"/>
            <w:textDirection w:val="btLr"/>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r w:rsidRPr="00E14821">
              <w:rPr>
                <w:rFonts w:ascii="Times New Roman" w:hAnsi="Times New Roman" w:cs="Times New Roman"/>
                <w:b/>
                <w:bCs/>
                <w:sz w:val="18"/>
                <w:szCs w:val="18"/>
              </w:rPr>
              <w:t>No.</w:t>
            </w:r>
          </w:p>
        </w:tc>
        <w:tc>
          <w:tcPr>
            <w:tcW w:w="527" w:type="pct"/>
            <w:vMerge w:val="restart"/>
            <w:tcBorders>
              <w:top w:val="thinThickSmallGap" w:sz="12" w:space="0" w:color="auto"/>
              <w:bottom w:val="single" w:sz="4" w:space="0" w:color="auto"/>
            </w:tcBorders>
            <w:shd w:val="clear" w:color="auto" w:fill="D9D9D9"/>
            <w:textDirection w:val="btLr"/>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r w:rsidRPr="00E14821">
              <w:rPr>
                <w:rFonts w:ascii="Times New Roman" w:hAnsi="Times New Roman" w:cs="Times New Roman"/>
                <w:b/>
                <w:bCs/>
                <w:sz w:val="18"/>
                <w:szCs w:val="18"/>
              </w:rPr>
              <w:t>%</w:t>
            </w:r>
          </w:p>
        </w:tc>
        <w:tc>
          <w:tcPr>
            <w:tcW w:w="1507" w:type="pct"/>
            <w:gridSpan w:val="4"/>
            <w:tcBorders>
              <w:top w:val="thinThickSmallGap" w:sz="12" w:space="0" w:color="auto"/>
              <w:bottom w:val="single" w:sz="4" w:space="0" w:color="auto"/>
            </w:tcBorders>
            <w:shd w:val="clear" w:color="auto" w:fill="D9D9D9"/>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r w:rsidRPr="00E14821">
              <w:rPr>
                <w:rFonts w:ascii="Times New Roman" w:hAnsi="Times New Roman" w:cs="Times New Roman"/>
                <w:b/>
                <w:bCs/>
                <w:sz w:val="18"/>
                <w:szCs w:val="18"/>
              </w:rPr>
              <w:t>t(9;22) (total No.=11)</w:t>
            </w:r>
          </w:p>
        </w:tc>
        <w:tc>
          <w:tcPr>
            <w:tcW w:w="491" w:type="pct"/>
            <w:vMerge w:val="restart"/>
            <w:tcBorders>
              <w:top w:val="thinThickSmallGap" w:sz="12" w:space="0" w:color="auto"/>
              <w:bottom w:val="single" w:sz="4" w:space="0" w:color="auto"/>
            </w:tcBorders>
            <w:shd w:val="clear" w:color="auto" w:fill="D9D9D9"/>
            <w:textDirection w:val="btLr"/>
            <w:vAlign w:val="center"/>
          </w:tcPr>
          <w:p w:rsidR="006E3AFC" w:rsidRPr="00E14821" w:rsidRDefault="006E3AFC" w:rsidP="007A64B2">
            <w:pPr>
              <w:spacing w:after="0" w:line="240" w:lineRule="auto"/>
              <w:jc w:val="center"/>
              <w:rPr>
                <w:rFonts w:ascii="Times New Roman" w:hAnsi="Times New Roman" w:cs="Times New Roman"/>
                <w:b/>
                <w:bCs/>
                <w:sz w:val="18"/>
                <w:szCs w:val="18"/>
              </w:rPr>
            </w:pPr>
            <w:r w:rsidRPr="00E14821">
              <w:rPr>
                <w:rFonts w:ascii="Times New Roman" w:hAnsi="Times New Roman" w:cs="Times New Roman"/>
                <w:b/>
                <w:bCs/>
                <w:sz w:val="18"/>
                <w:szCs w:val="18"/>
              </w:rPr>
              <w:t>P</w:t>
            </w:r>
          </w:p>
        </w:tc>
        <w:tc>
          <w:tcPr>
            <w:tcW w:w="401" w:type="pct"/>
            <w:vMerge w:val="restart"/>
            <w:tcBorders>
              <w:top w:val="thinThickSmallGap" w:sz="12" w:space="0" w:color="auto"/>
              <w:bottom w:val="single" w:sz="4" w:space="0" w:color="auto"/>
            </w:tcBorders>
            <w:shd w:val="clear" w:color="auto" w:fill="D9D9D9"/>
            <w:textDirection w:val="btLr"/>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r w:rsidRPr="00E14821">
              <w:rPr>
                <w:rFonts w:ascii="Times New Roman" w:hAnsi="Times New Roman" w:cs="Times New Roman"/>
                <w:b/>
                <w:bCs/>
                <w:sz w:val="18"/>
                <w:szCs w:val="18"/>
              </w:rPr>
              <w:t>Significance</w:t>
            </w:r>
          </w:p>
        </w:tc>
      </w:tr>
      <w:tr w:rsidR="006E3AFC" w:rsidRPr="00E14821" w:rsidTr="005D05BB">
        <w:trPr>
          <w:cantSplit/>
          <w:trHeight w:val="450"/>
          <w:jc w:val="center"/>
        </w:trPr>
        <w:tc>
          <w:tcPr>
            <w:tcW w:w="980" w:type="pct"/>
            <w:vMerge/>
            <w:tcBorders>
              <w:top w:val="single" w:sz="4" w:space="0" w:color="auto"/>
              <w:bottom w:val="single" w:sz="4"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p>
        </w:tc>
        <w:tc>
          <w:tcPr>
            <w:tcW w:w="753" w:type="pct"/>
            <w:vMerge/>
            <w:tcBorders>
              <w:top w:val="single" w:sz="4" w:space="0" w:color="auto"/>
              <w:bottom w:val="single" w:sz="4"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p>
        </w:tc>
        <w:tc>
          <w:tcPr>
            <w:tcW w:w="340" w:type="pct"/>
            <w:vMerge/>
            <w:tcBorders>
              <w:top w:val="single" w:sz="4" w:space="0" w:color="auto"/>
              <w:bottom w:val="single" w:sz="4"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p>
        </w:tc>
        <w:tc>
          <w:tcPr>
            <w:tcW w:w="527" w:type="pct"/>
            <w:vMerge/>
            <w:tcBorders>
              <w:top w:val="single" w:sz="4" w:space="0" w:color="auto"/>
              <w:bottom w:val="single" w:sz="4"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p>
        </w:tc>
        <w:tc>
          <w:tcPr>
            <w:tcW w:w="719" w:type="pct"/>
            <w:gridSpan w:val="2"/>
            <w:tcBorders>
              <w:top w:val="single" w:sz="4" w:space="0" w:color="auto"/>
              <w:bottom w:val="single" w:sz="4"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r w:rsidRPr="00E14821">
              <w:rPr>
                <w:rFonts w:ascii="Times New Roman" w:hAnsi="Times New Roman" w:cs="Times New Roman"/>
                <w:b/>
                <w:bCs/>
                <w:sz w:val="18"/>
                <w:szCs w:val="18"/>
              </w:rPr>
              <w:t>+ve</w:t>
            </w:r>
          </w:p>
        </w:tc>
        <w:tc>
          <w:tcPr>
            <w:tcW w:w="787" w:type="pct"/>
            <w:gridSpan w:val="2"/>
            <w:tcBorders>
              <w:top w:val="single" w:sz="4" w:space="0" w:color="auto"/>
              <w:bottom w:val="single" w:sz="4"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r w:rsidRPr="00E14821">
              <w:rPr>
                <w:rFonts w:ascii="Times New Roman" w:hAnsi="Times New Roman" w:cs="Times New Roman"/>
                <w:b/>
                <w:bCs/>
                <w:sz w:val="18"/>
                <w:szCs w:val="18"/>
              </w:rPr>
              <w:t>-ve</w:t>
            </w:r>
          </w:p>
        </w:tc>
        <w:tc>
          <w:tcPr>
            <w:tcW w:w="491" w:type="pct"/>
            <w:vMerge/>
            <w:tcBorders>
              <w:top w:val="single" w:sz="4" w:space="0" w:color="auto"/>
              <w:bottom w:val="single" w:sz="4"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p>
        </w:tc>
        <w:tc>
          <w:tcPr>
            <w:tcW w:w="401" w:type="pct"/>
            <w:vMerge/>
            <w:tcBorders>
              <w:top w:val="single" w:sz="4" w:space="0" w:color="auto"/>
              <w:bottom w:val="single" w:sz="4"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p>
        </w:tc>
      </w:tr>
      <w:tr w:rsidR="006E3AFC" w:rsidRPr="00E14821" w:rsidTr="005D05BB">
        <w:trPr>
          <w:cantSplit/>
          <w:trHeight w:val="693"/>
          <w:jc w:val="center"/>
        </w:trPr>
        <w:tc>
          <w:tcPr>
            <w:tcW w:w="980" w:type="pct"/>
            <w:vMerge/>
            <w:tcBorders>
              <w:top w:val="single" w:sz="4" w:space="0" w:color="auto"/>
              <w:bottom w:val="thickThinSmallGap" w:sz="12"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p>
        </w:tc>
        <w:tc>
          <w:tcPr>
            <w:tcW w:w="753" w:type="pct"/>
            <w:vMerge/>
            <w:tcBorders>
              <w:top w:val="single" w:sz="4" w:space="0" w:color="auto"/>
              <w:bottom w:val="thickThinSmallGap" w:sz="12"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p>
        </w:tc>
        <w:tc>
          <w:tcPr>
            <w:tcW w:w="340" w:type="pct"/>
            <w:vMerge/>
            <w:tcBorders>
              <w:top w:val="single" w:sz="4" w:space="0" w:color="auto"/>
              <w:bottom w:val="thickThinSmallGap" w:sz="12"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p>
        </w:tc>
        <w:tc>
          <w:tcPr>
            <w:tcW w:w="527" w:type="pct"/>
            <w:vMerge/>
            <w:tcBorders>
              <w:top w:val="single" w:sz="4" w:space="0" w:color="auto"/>
              <w:bottom w:val="thickThinSmallGap" w:sz="12"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p>
        </w:tc>
        <w:tc>
          <w:tcPr>
            <w:tcW w:w="277" w:type="pct"/>
            <w:tcBorders>
              <w:top w:val="single" w:sz="4" w:space="0" w:color="auto"/>
              <w:bottom w:val="thickThinSmallGap" w:sz="12" w:space="0" w:color="auto"/>
            </w:tcBorders>
            <w:textDirection w:val="btLr"/>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r w:rsidRPr="00E14821">
              <w:rPr>
                <w:rFonts w:ascii="Times New Roman" w:hAnsi="Times New Roman" w:cs="Times New Roman"/>
                <w:b/>
                <w:bCs/>
                <w:sz w:val="18"/>
                <w:szCs w:val="18"/>
              </w:rPr>
              <w:t>No.</w:t>
            </w:r>
          </w:p>
        </w:tc>
        <w:tc>
          <w:tcPr>
            <w:tcW w:w="443" w:type="pct"/>
            <w:tcBorders>
              <w:top w:val="single" w:sz="4" w:space="0" w:color="auto"/>
              <w:bottom w:val="thickThinSmallGap" w:sz="12" w:space="0" w:color="auto"/>
            </w:tcBorders>
            <w:textDirection w:val="btLr"/>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r w:rsidRPr="00E14821">
              <w:rPr>
                <w:rFonts w:ascii="Times New Roman" w:hAnsi="Times New Roman" w:cs="Times New Roman"/>
                <w:b/>
                <w:bCs/>
                <w:sz w:val="18"/>
                <w:szCs w:val="18"/>
              </w:rPr>
              <w:t>%</w:t>
            </w:r>
          </w:p>
        </w:tc>
        <w:tc>
          <w:tcPr>
            <w:tcW w:w="339" w:type="pct"/>
            <w:tcBorders>
              <w:top w:val="single" w:sz="4" w:space="0" w:color="auto"/>
              <w:bottom w:val="thickThinSmallGap" w:sz="12" w:space="0" w:color="auto"/>
            </w:tcBorders>
            <w:textDirection w:val="btLr"/>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r w:rsidRPr="00E14821">
              <w:rPr>
                <w:rFonts w:ascii="Times New Roman" w:hAnsi="Times New Roman" w:cs="Times New Roman"/>
                <w:b/>
                <w:bCs/>
                <w:sz w:val="18"/>
                <w:szCs w:val="18"/>
              </w:rPr>
              <w:t>No.</w:t>
            </w:r>
          </w:p>
        </w:tc>
        <w:tc>
          <w:tcPr>
            <w:tcW w:w="448" w:type="pct"/>
            <w:tcBorders>
              <w:top w:val="single" w:sz="4" w:space="0" w:color="auto"/>
              <w:bottom w:val="thickThinSmallGap" w:sz="12" w:space="0" w:color="auto"/>
            </w:tcBorders>
            <w:textDirection w:val="btLr"/>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r w:rsidRPr="00E14821">
              <w:rPr>
                <w:rFonts w:ascii="Times New Roman" w:hAnsi="Times New Roman" w:cs="Times New Roman"/>
                <w:b/>
                <w:bCs/>
                <w:sz w:val="18"/>
                <w:szCs w:val="18"/>
              </w:rPr>
              <w:t>%</w:t>
            </w:r>
          </w:p>
        </w:tc>
        <w:tc>
          <w:tcPr>
            <w:tcW w:w="491" w:type="pct"/>
            <w:vMerge/>
            <w:tcBorders>
              <w:top w:val="single" w:sz="4" w:space="0" w:color="auto"/>
              <w:bottom w:val="thickThinSmallGap" w:sz="12"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p>
        </w:tc>
        <w:tc>
          <w:tcPr>
            <w:tcW w:w="401" w:type="pct"/>
            <w:vMerge/>
            <w:tcBorders>
              <w:top w:val="single" w:sz="4" w:space="0" w:color="auto"/>
              <w:bottom w:val="thickThinSmallGap" w:sz="12" w:space="0" w:color="auto"/>
            </w:tcBorders>
            <w:vAlign w:val="center"/>
            <w:hideMark/>
          </w:tcPr>
          <w:p w:rsidR="006E3AFC" w:rsidRPr="00E14821" w:rsidRDefault="006E3AFC" w:rsidP="007A64B2">
            <w:pPr>
              <w:spacing w:after="0" w:line="240" w:lineRule="auto"/>
              <w:jc w:val="center"/>
              <w:rPr>
                <w:rFonts w:ascii="Times New Roman" w:hAnsi="Times New Roman" w:cs="Times New Roman"/>
                <w:b/>
                <w:bCs/>
                <w:sz w:val="18"/>
                <w:szCs w:val="18"/>
              </w:rPr>
            </w:pPr>
          </w:p>
        </w:tc>
      </w:tr>
      <w:tr w:rsidR="006E3AFC" w:rsidRPr="00E14821" w:rsidTr="005D05BB">
        <w:trPr>
          <w:trHeight w:val="19"/>
          <w:jc w:val="center"/>
        </w:trPr>
        <w:tc>
          <w:tcPr>
            <w:tcW w:w="980" w:type="pct"/>
            <w:tcBorders>
              <w:top w:val="thickThinSmallGap" w:sz="12" w:space="0" w:color="auto"/>
            </w:tcBorders>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Age(Years)</w:t>
            </w:r>
          </w:p>
        </w:tc>
        <w:tc>
          <w:tcPr>
            <w:tcW w:w="753" w:type="pct"/>
            <w:tcBorders>
              <w:top w:val="thickThinSmallGap" w:sz="12" w:space="0" w:color="auto"/>
            </w:tcBorders>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≥35</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&lt;35</w:t>
            </w:r>
          </w:p>
        </w:tc>
        <w:tc>
          <w:tcPr>
            <w:tcW w:w="340" w:type="pct"/>
            <w:tcBorders>
              <w:top w:val="thickThinSmallGap" w:sz="12" w:space="0" w:color="auto"/>
            </w:tcBorders>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18</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21</w:t>
            </w:r>
          </w:p>
        </w:tc>
        <w:tc>
          <w:tcPr>
            <w:tcW w:w="527" w:type="pct"/>
            <w:tcBorders>
              <w:top w:val="thickThinSmallGap" w:sz="12" w:space="0" w:color="auto"/>
            </w:tcBorders>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46.2</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53.8</w:t>
            </w:r>
          </w:p>
        </w:tc>
        <w:tc>
          <w:tcPr>
            <w:tcW w:w="277" w:type="pct"/>
            <w:tcBorders>
              <w:top w:val="thickThinSmallGap" w:sz="12" w:space="0" w:color="auto"/>
            </w:tcBorders>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w:t>
            </w:r>
          </w:p>
        </w:tc>
        <w:tc>
          <w:tcPr>
            <w:tcW w:w="443" w:type="pct"/>
            <w:tcBorders>
              <w:top w:val="thickThinSmallGap" w:sz="12" w:space="0" w:color="auto"/>
            </w:tcBorders>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81.8</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18.2</w:t>
            </w:r>
          </w:p>
        </w:tc>
        <w:tc>
          <w:tcPr>
            <w:tcW w:w="339" w:type="pct"/>
            <w:tcBorders>
              <w:top w:val="thickThinSmallGap" w:sz="12" w:space="0" w:color="auto"/>
            </w:tcBorders>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19</w:t>
            </w:r>
          </w:p>
        </w:tc>
        <w:tc>
          <w:tcPr>
            <w:tcW w:w="448" w:type="pct"/>
            <w:tcBorders>
              <w:top w:val="thickThinSmallGap" w:sz="12" w:space="0" w:color="auto"/>
            </w:tcBorders>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32.1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67.9</w:t>
            </w:r>
          </w:p>
        </w:tc>
        <w:tc>
          <w:tcPr>
            <w:tcW w:w="491" w:type="pct"/>
            <w:tcBorders>
              <w:top w:val="thickThinSmallGap" w:sz="12" w:space="0" w:color="auto"/>
            </w:tcBorders>
            <w:shd w:val="clear" w:color="auto" w:fill="FBD4B4" w:themeFill="accent6" w:themeFillTint="66"/>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0.005</w:t>
            </w:r>
          </w:p>
        </w:tc>
        <w:tc>
          <w:tcPr>
            <w:tcW w:w="401" w:type="pct"/>
            <w:tcBorders>
              <w:top w:val="thickThinSmallGap" w:sz="12" w:space="0" w:color="auto"/>
            </w:tcBorders>
            <w:shd w:val="clear" w:color="auto" w:fill="FBD4B4" w:themeFill="accent6" w:themeFillTint="66"/>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HS</w:t>
            </w:r>
          </w:p>
        </w:tc>
      </w:tr>
      <w:tr w:rsidR="006E3AFC" w:rsidRPr="00E14821" w:rsidTr="005D05BB">
        <w:trPr>
          <w:trHeight w:val="49"/>
          <w:jc w:val="center"/>
        </w:trPr>
        <w:tc>
          <w:tcPr>
            <w:tcW w:w="980" w:type="pct"/>
            <w:shd w:val="clear" w:color="auto" w:fill="D9D9D9"/>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Sex</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 ♀1.6:1</w:t>
            </w:r>
          </w:p>
        </w:tc>
        <w:tc>
          <w:tcPr>
            <w:tcW w:w="753"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Male</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Female</w:t>
            </w:r>
          </w:p>
        </w:tc>
        <w:tc>
          <w:tcPr>
            <w:tcW w:w="340"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24</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15</w:t>
            </w:r>
          </w:p>
        </w:tc>
        <w:tc>
          <w:tcPr>
            <w:tcW w:w="527"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61.5</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38.5</w:t>
            </w:r>
          </w:p>
        </w:tc>
        <w:tc>
          <w:tcPr>
            <w:tcW w:w="277"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7</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4</w:t>
            </w:r>
          </w:p>
        </w:tc>
        <w:tc>
          <w:tcPr>
            <w:tcW w:w="443"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63.6</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36.4</w:t>
            </w:r>
          </w:p>
        </w:tc>
        <w:tc>
          <w:tcPr>
            <w:tcW w:w="339"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17</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11</w:t>
            </w:r>
          </w:p>
        </w:tc>
        <w:tc>
          <w:tcPr>
            <w:tcW w:w="448"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60.7</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39.3</w:t>
            </w:r>
          </w:p>
        </w:tc>
        <w:tc>
          <w:tcPr>
            <w:tcW w:w="491" w:type="pct"/>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0.866</w:t>
            </w:r>
          </w:p>
        </w:tc>
        <w:tc>
          <w:tcPr>
            <w:tcW w:w="401" w:type="pct"/>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NS</w:t>
            </w:r>
          </w:p>
        </w:tc>
      </w:tr>
      <w:tr w:rsidR="006E3AFC" w:rsidRPr="00E14821" w:rsidTr="005D05BB">
        <w:trPr>
          <w:trHeight w:val="49"/>
          <w:jc w:val="center"/>
        </w:trPr>
        <w:tc>
          <w:tcPr>
            <w:tcW w:w="980"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Hepatomegaly</w:t>
            </w:r>
          </w:p>
        </w:tc>
        <w:tc>
          <w:tcPr>
            <w:tcW w:w="753"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Yes</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No</w:t>
            </w:r>
          </w:p>
        </w:tc>
        <w:tc>
          <w:tcPr>
            <w:tcW w:w="340"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19</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20</w:t>
            </w:r>
          </w:p>
        </w:tc>
        <w:tc>
          <w:tcPr>
            <w:tcW w:w="527"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48.7</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51.3</w:t>
            </w:r>
          </w:p>
        </w:tc>
        <w:tc>
          <w:tcPr>
            <w:tcW w:w="277"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w:t>
            </w:r>
          </w:p>
        </w:tc>
        <w:tc>
          <w:tcPr>
            <w:tcW w:w="443"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100</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w:t>
            </w:r>
          </w:p>
        </w:tc>
        <w:tc>
          <w:tcPr>
            <w:tcW w:w="339"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8</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20</w:t>
            </w:r>
          </w:p>
        </w:tc>
        <w:tc>
          <w:tcPr>
            <w:tcW w:w="448"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28.6</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71.4</w:t>
            </w:r>
          </w:p>
        </w:tc>
        <w:tc>
          <w:tcPr>
            <w:tcW w:w="491" w:type="pct"/>
            <w:shd w:val="clear" w:color="auto" w:fill="FBD4B4" w:themeFill="accent6" w:themeFillTint="66"/>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0.000</w:t>
            </w:r>
          </w:p>
        </w:tc>
        <w:tc>
          <w:tcPr>
            <w:tcW w:w="401" w:type="pct"/>
            <w:shd w:val="clear" w:color="auto" w:fill="FBD4B4" w:themeFill="accent6" w:themeFillTint="66"/>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HS</w:t>
            </w:r>
          </w:p>
        </w:tc>
      </w:tr>
      <w:tr w:rsidR="006E3AFC" w:rsidRPr="00E14821" w:rsidTr="005D05BB">
        <w:trPr>
          <w:trHeight w:val="49"/>
          <w:jc w:val="center"/>
        </w:trPr>
        <w:tc>
          <w:tcPr>
            <w:tcW w:w="980"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Splenomegaly</w:t>
            </w:r>
          </w:p>
        </w:tc>
        <w:tc>
          <w:tcPr>
            <w:tcW w:w="753"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Yes</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No</w:t>
            </w:r>
          </w:p>
        </w:tc>
        <w:tc>
          <w:tcPr>
            <w:tcW w:w="340"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20</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19</w:t>
            </w:r>
          </w:p>
        </w:tc>
        <w:tc>
          <w:tcPr>
            <w:tcW w:w="527"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51.3</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48.7</w:t>
            </w:r>
          </w:p>
        </w:tc>
        <w:tc>
          <w:tcPr>
            <w:tcW w:w="277"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w:t>
            </w:r>
          </w:p>
        </w:tc>
        <w:tc>
          <w:tcPr>
            <w:tcW w:w="443"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100</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w:t>
            </w:r>
          </w:p>
        </w:tc>
        <w:tc>
          <w:tcPr>
            <w:tcW w:w="339"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19</w:t>
            </w:r>
          </w:p>
        </w:tc>
        <w:tc>
          <w:tcPr>
            <w:tcW w:w="448"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32.1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67.9</w:t>
            </w:r>
          </w:p>
        </w:tc>
        <w:tc>
          <w:tcPr>
            <w:tcW w:w="491" w:type="pct"/>
            <w:shd w:val="clear" w:color="auto" w:fill="FBD4B4" w:themeFill="accent6" w:themeFillTint="66"/>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0.000</w:t>
            </w:r>
          </w:p>
        </w:tc>
        <w:tc>
          <w:tcPr>
            <w:tcW w:w="401" w:type="pct"/>
            <w:shd w:val="clear" w:color="auto" w:fill="FBD4B4" w:themeFill="accent6" w:themeFillTint="66"/>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HS</w:t>
            </w:r>
          </w:p>
        </w:tc>
      </w:tr>
      <w:tr w:rsidR="006E3AFC" w:rsidRPr="00E14821" w:rsidTr="005D05BB">
        <w:trPr>
          <w:trHeight w:val="49"/>
          <w:jc w:val="center"/>
        </w:trPr>
        <w:tc>
          <w:tcPr>
            <w:tcW w:w="980"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Lymphadenopathy</w:t>
            </w:r>
          </w:p>
        </w:tc>
        <w:tc>
          <w:tcPr>
            <w:tcW w:w="753"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Yes</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No</w:t>
            </w:r>
          </w:p>
        </w:tc>
        <w:tc>
          <w:tcPr>
            <w:tcW w:w="340"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24</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15</w:t>
            </w:r>
          </w:p>
        </w:tc>
        <w:tc>
          <w:tcPr>
            <w:tcW w:w="527"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61.5</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38.5</w:t>
            </w:r>
          </w:p>
        </w:tc>
        <w:tc>
          <w:tcPr>
            <w:tcW w:w="277"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10</w:t>
            </w:r>
          </w:p>
        </w:tc>
        <w:tc>
          <w:tcPr>
            <w:tcW w:w="443"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90.9</w:t>
            </w:r>
          </w:p>
        </w:tc>
        <w:tc>
          <w:tcPr>
            <w:tcW w:w="339"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23</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5</w:t>
            </w:r>
          </w:p>
        </w:tc>
        <w:tc>
          <w:tcPr>
            <w:tcW w:w="448"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82.1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17.9</w:t>
            </w:r>
          </w:p>
        </w:tc>
        <w:tc>
          <w:tcPr>
            <w:tcW w:w="491" w:type="pct"/>
            <w:shd w:val="clear" w:color="auto" w:fill="FBD4B4" w:themeFill="accent6" w:themeFillTint="66"/>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0.000</w:t>
            </w:r>
          </w:p>
        </w:tc>
        <w:tc>
          <w:tcPr>
            <w:tcW w:w="401" w:type="pct"/>
            <w:shd w:val="clear" w:color="auto" w:fill="FBD4B4" w:themeFill="accent6" w:themeFillTint="66"/>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HS</w:t>
            </w:r>
          </w:p>
        </w:tc>
      </w:tr>
      <w:tr w:rsidR="006E3AFC" w:rsidRPr="00E14821" w:rsidTr="005D05BB">
        <w:trPr>
          <w:trHeight w:val="49"/>
          <w:jc w:val="center"/>
        </w:trPr>
        <w:tc>
          <w:tcPr>
            <w:tcW w:w="980" w:type="pct"/>
            <w:shd w:val="clear" w:color="auto" w:fill="D9D9D9"/>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CNS Infilteration</w:t>
            </w:r>
          </w:p>
        </w:tc>
        <w:tc>
          <w:tcPr>
            <w:tcW w:w="753"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Yes</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No</w:t>
            </w:r>
          </w:p>
        </w:tc>
        <w:tc>
          <w:tcPr>
            <w:tcW w:w="340"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37</w:t>
            </w:r>
          </w:p>
        </w:tc>
        <w:tc>
          <w:tcPr>
            <w:tcW w:w="527"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5.1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94.9</w:t>
            </w:r>
          </w:p>
        </w:tc>
        <w:tc>
          <w:tcPr>
            <w:tcW w:w="277"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10</w:t>
            </w:r>
          </w:p>
        </w:tc>
        <w:tc>
          <w:tcPr>
            <w:tcW w:w="443"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90.9</w:t>
            </w:r>
          </w:p>
        </w:tc>
        <w:tc>
          <w:tcPr>
            <w:tcW w:w="339"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27</w:t>
            </w:r>
          </w:p>
        </w:tc>
        <w:tc>
          <w:tcPr>
            <w:tcW w:w="448"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3.6</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96.4</w:t>
            </w:r>
          </w:p>
        </w:tc>
        <w:tc>
          <w:tcPr>
            <w:tcW w:w="491" w:type="pct"/>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0.482</w:t>
            </w:r>
          </w:p>
        </w:tc>
        <w:tc>
          <w:tcPr>
            <w:tcW w:w="401" w:type="pct"/>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NS</w:t>
            </w:r>
          </w:p>
        </w:tc>
      </w:tr>
      <w:tr w:rsidR="006E3AFC" w:rsidRPr="00E14821" w:rsidTr="005D05BB">
        <w:trPr>
          <w:trHeight w:val="49"/>
          <w:jc w:val="center"/>
        </w:trPr>
        <w:tc>
          <w:tcPr>
            <w:tcW w:w="980" w:type="pct"/>
            <w:shd w:val="clear" w:color="auto" w:fill="D9D9D9"/>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Hb</w:t>
            </w:r>
          </w:p>
        </w:tc>
        <w:tc>
          <w:tcPr>
            <w:tcW w:w="753"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&lt;10g/dl</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≥10g/dl</w:t>
            </w:r>
          </w:p>
        </w:tc>
        <w:tc>
          <w:tcPr>
            <w:tcW w:w="340"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36</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w:t>
            </w:r>
          </w:p>
        </w:tc>
        <w:tc>
          <w:tcPr>
            <w:tcW w:w="527"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92.3</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7.7</w:t>
            </w:r>
          </w:p>
        </w:tc>
        <w:tc>
          <w:tcPr>
            <w:tcW w:w="277"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w:t>
            </w:r>
          </w:p>
        </w:tc>
        <w:tc>
          <w:tcPr>
            <w:tcW w:w="443"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81.8</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18.2</w:t>
            </w:r>
          </w:p>
        </w:tc>
        <w:tc>
          <w:tcPr>
            <w:tcW w:w="339"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27</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w:t>
            </w:r>
          </w:p>
        </w:tc>
        <w:tc>
          <w:tcPr>
            <w:tcW w:w="448"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96.4</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3.6</w:t>
            </w:r>
          </w:p>
        </w:tc>
        <w:tc>
          <w:tcPr>
            <w:tcW w:w="491" w:type="pct"/>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0.123</w:t>
            </w:r>
          </w:p>
        </w:tc>
        <w:tc>
          <w:tcPr>
            <w:tcW w:w="401" w:type="pct"/>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NS</w:t>
            </w:r>
          </w:p>
        </w:tc>
      </w:tr>
      <w:tr w:rsidR="006E3AFC" w:rsidRPr="00E14821" w:rsidTr="005D05BB">
        <w:trPr>
          <w:trHeight w:val="547"/>
          <w:jc w:val="center"/>
        </w:trPr>
        <w:tc>
          <w:tcPr>
            <w:tcW w:w="980"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TLC(x10</w:t>
            </w:r>
            <w:r w:rsidRPr="00E14821">
              <w:rPr>
                <w:rFonts w:ascii="Times New Roman" w:hAnsi="Times New Roman" w:cs="Times New Roman"/>
                <w:sz w:val="18"/>
                <w:szCs w:val="18"/>
                <w:vertAlign w:val="superscript"/>
              </w:rPr>
              <w:t>9</w:t>
            </w:r>
            <w:r w:rsidRPr="00E14821">
              <w:rPr>
                <w:rFonts w:ascii="Times New Roman" w:hAnsi="Times New Roman" w:cs="Times New Roman"/>
                <w:sz w:val="18"/>
                <w:szCs w:val="18"/>
              </w:rPr>
              <w:t>/L)</w:t>
            </w:r>
          </w:p>
        </w:tc>
        <w:tc>
          <w:tcPr>
            <w:tcW w:w="753"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&lt;50</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≥50</w:t>
            </w:r>
          </w:p>
        </w:tc>
        <w:tc>
          <w:tcPr>
            <w:tcW w:w="340"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26</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13</w:t>
            </w:r>
          </w:p>
        </w:tc>
        <w:tc>
          <w:tcPr>
            <w:tcW w:w="527"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66.7</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33.3</w:t>
            </w:r>
          </w:p>
        </w:tc>
        <w:tc>
          <w:tcPr>
            <w:tcW w:w="277"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8</w:t>
            </w:r>
          </w:p>
        </w:tc>
        <w:tc>
          <w:tcPr>
            <w:tcW w:w="443"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27.3</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72.7</w:t>
            </w:r>
          </w:p>
        </w:tc>
        <w:tc>
          <w:tcPr>
            <w:tcW w:w="339"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23</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5</w:t>
            </w:r>
          </w:p>
        </w:tc>
        <w:tc>
          <w:tcPr>
            <w:tcW w:w="448"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82.1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17.9</w:t>
            </w:r>
          </w:p>
        </w:tc>
        <w:tc>
          <w:tcPr>
            <w:tcW w:w="491" w:type="pct"/>
            <w:shd w:val="clear" w:color="auto" w:fill="FBD4B4" w:themeFill="accent6" w:themeFillTint="66"/>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0.001</w:t>
            </w:r>
          </w:p>
        </w:tc>
        <w:tc>
          <w:tcPr>
            <w:tcW w:w="401" w:type="pct"/>
            <w:shd w:val="clear" w:color="auto" w:fill="FBD4B4" w:themeFill="accent6" w:themeFillTint="66"/>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HS</w:t>
            </w:r>
          </w:p>
        </w:tc>
      </w:tr>
      <w:tr w:rsidR="006E3AFC" w:rsidRPr="00E14821" w:rsidTr="005D05BB">
        <w:trPr>
          <w:trHeight w:val="555"/>
          <w:jc w:val="center"/>
        </w:trPr>
        <w:tc>
          <w:tcPr>
            <w:tcW w:w="980" w:type="pct"/>
            <w:shd w:val="clear" w:color="auto" w:fill="D9D9D9"/>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Platelet count(x10</w:t>
            </w:r>
            <w:r w:rsidRPr="00E14821">
              <w:rPr>
                <w:rFonts w:ascii="Times New Roman" w:hAnsi="Times New Roman" w:cs="Times New Roman"/>
                <w:sz w:val="18"/>
                <w:szCs w:val="18"/>
                <w:vertAlign w:val="superscript"/>
              </w:rPr>
              <w:t>9</w:t>
            </w:r>
            <w:r w:rsidRPr="00E14821">
              <w:rPr>
                <w:rFonts w:ascii="Times New Roman" w:hAnsi="Times New Roman" w:cs="Times New Roman"/>
                <w:sz w:val="18"/>
                <w:szCs w:val="18"/>
              </w:rPr>
              <w:t>/L)</w:t>
            </w:r>
          </w:p>
        </w:tc>
        <w:tc>
          <w:tcPr>
            <w:tcW w:w="753"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&lt;100</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≥100</w:t>
            </w:r>
          </w:p>
        </w:tc>
        <w:tc>
          <w:tcPr>
            <w:tcW w:w="340"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33</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6</w:t>
            </w:r>
          </w:p>
        </w:tc>
        <w:tc>
          <w:tcPr>
            <w:tcW w:w="527"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84.6</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15.4</w:t>
            </w:r>
          </w:p>
        </w:tc>
        <w:tc>
          <w:tcPr>
            <w:tcW w:w="277"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w:t>
            </w:r>
          </w:p>
        </w:tc>
        <w:tc>
          <w:tcPr>
            <w:tcW w:w="443"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100</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w:t>
            </w:r>
          </w:p>
        </w:tc>
        <w:tc>
          <w:tcPr>
            <w:tcW w:w="339"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22</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6</w:t>
            </w:r>
          </w:p>
        </w:tc>
        <w:tc>
          <w:tcPr>
            <w:tcW w:w="448" w:type="pct"/>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78.6</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21.4</w:t>
            </w:r>
          </w:p>
        </w:tc>
        <w:tc>
          <w:tcPr>
            <w:tcW w:w="491" w:type="pct"/>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0.095</w:t>
            </w:r>
          </w:p>
        </w:tc>
        <w:tc>
          <w:tcPr>
            <w:tcW w:w="401" w:type="pct"/>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NS</w:t>
            </w:r>
          </w:p>
        </w:tc>
      </w:tr>
      <w:tr w:rsidR="006E3AFC" w:rsidRPr="00E14821" w:rsidTr="005D05BB">
        <w:trPr>
          <w:trHeight w:val="549"/>
          <w:jc w:val="center"/>
        </w:trPr>
        <w:tc>
          <w:tcPr>
            <w:tcW w:w="980" w:type="pct"/>
            <w:shd w:val="clear" w:color="auto" w:fill="FBD4B4" w:themeFill="accent6" w:themeFillTint="66"/>
            <w:vAlign w:val="center"/>
            <w:hideMark/>
          </w:tcPr>
          <w:p w:rsidR="006E3AFC" w:rsidRPr="00E14821" w:rsidRDefault="006E3AFC" w:rsidP="007A64B2">
            <w:pPr>
              <w:spacing w:after="0" w:line="240" w:lineRule="auto"/>
              <w:rPr>
                <w:rFonts w:ascii="Times New Roman" w:hAnsi="Times New Roman" w:cs="Times New Roman"/>
                <w:sz w:val="18"/>
                <w:szCs w:val="18"/>
              </w:rPr>
            </w:pPr>
            <w:r w:rsidRPr="00E14821">
              <w:rPr>
                <w:rFonts w:ascii="Times New Roman" w:hAnsi="Times New Roman" w:cs="Times New Roman"/>
                <w:sz w:val="18"/>
                <w:szCs w:val="18"/>
              </w:rPr>
              <w:t>Absolute PB Blasts</w:t>
            </w:r>
          </w:p>
        </w:tc>
        <w:tc>
          <w:tcPr>
            <w:tcW w:w="753"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&lt;4.4</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≥4.4</w:t>
            </w:r>
          </w:p>
        </w:tc>
        <w:tc>
          <w:tcPr>
            <w:tcW w:w="340"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19</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20</w:t>
            </w:r>
          </w:p>
        </w:tc>
        <w:tc>
          <w:tcPr>
            <w:tcW w:w="527"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48.7</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51.3</w:t>
            </w:r>
          </w:p>
        </w:tc>
        <w:tc>
          <w:tcPr>
            <w:tcW w:w="277"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10</w:t>
            </w:r>
          </w:p>
        </w:tc>
        <w:tc>
          <w:tcPr>
            <w:tcW w:w="443"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9.1</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90.9</w:t>
            </w:r>
          </w:p>
        </w:tc>
        <w:tc>
          <w:tcPr>
            <w:tcW w:w="339"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18</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10</w:t>
            </w:r>
          </w:p>
        </w:tc>
        <w:tc>
          <w:tcPr>
            <w:tcW w:w="448" w:type="pct"/>
            <w:shd w:val="clear" w:color="auto" w:fill="FBD4B4" w:themeFill="accent6" w:themeFillTint="66"/>
            <w:vAlign w:val="center"/>
            <w:hideMark/>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64.3</w:t>
            </w:r>
          </w:p>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35.7</w:t>
            </w:r>
          </w:p>
        </w:tc>
        <w:tc>
          <w:tcPr>
            <w:tcW w:w="491" w:type="pct"/>
            <w:shd w:val="clear" w:color="auto" w:fill="FBD4B4" w:themeFill="accent6" w:themeFillTint="66"/>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0.002</w:t>
            </w:r>
          </w:p>
        </w:tc>
        <w:tc>
          <w:tcPr>
            <w:tcW w:w="401" w:type="pct"/>
            <w:shd w:val="clear" w:color="auto" w:fill="FBD4B4" w:themeFill="accent6" w:themeFillTint="66"/>
            <w:vAlign w:val="center"/>
          </w:tcPr>
          <w:p w:rsidR="006E3AFC" w:rsidRPr="00E14821" w:rsidRDefault="006E3AFC" w:rsidP="007A64B2">
            <w:pPr>
              <w:spacing w:after="0" w:line="240" w:lineRule="auto"/>
              <w:jc w:val="center"/>
              <w:rPr>
                <w:rFonts w:ascii="Times New Roman" w:hAnsi="Times New Roman" w:cs="Times New Roman"/>
                <w:sz w:val="18"/>
                <w:szCs w:val="18"/>
              </w:rPr>
            </w:pPr>
            <w:r w:rsidRPr="00E14821">
              <w:rPr>
                <w:rFonts w:ascii="Times New Roman" w:hAnsi="Times New Roman" w:cs="Times New Roman"/>
                <w:sz w:val="18"/>
                <w:szCs w:val="18"/>
              </w:rPr>
              <w:t>HS</w:t>
            </w:r>
          </w:p>
        </w:tc>
      </w:tr>
      <w:tr w:rsidR="004D4E9A" w:rsidRPr="00E14821" w:rsidTr="005D05BB">
        <w:trPr>
          <w:trHeight w:val="1550"/>
          <w:jc w:val="center"/>
        </w:trPr>
        <w:tc>
          <w:tcPr>
            <w:tcW w:w="980" w:type="pct"/>
            <w:shd w:val="clear" w:color="auto" w:fill="FBD4B4" w:themeFill="accent6" w:themeFillTint="66"/>
            <w:vAlign w:val="center"/>
            <w:hideMark/>
          </w:tcPr>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IPT</w:t>
            </w:r>
          </w:p>
        </w:tc>
        <w:tc>
          <w:tcPr>
            <w:tcW w:w="753" w:type="pct"/>
            <w:shd w:val="clear" w:color="auto" w:fill="FBD4B4" w:themeFill="accent6" w:themeFillTint="66"/>
            <w:vAlign w:val="center"/>
            <w:hideMark/>
          </w:tcPr>
          <w:p w:rsidR="004D4E9A" w:rsidRPr="004D4E9A" w:rsidRDefault="004D4E9A" w:rsidP="004D4E9A">
            <w:pPr>
              <w:spacing w:beforeLines="20" w:afterLines="20" w:line="240" w:lineRule="auto"/>
              <w:jc w:val="center"/>
              <w:rPr>
                <w:rFonts w:ascii="Times New Roman" w:hAnsi="Times New Roman" w:cs="Times New Roman"/>
                <w:sz w:val="18"/>
                <w:szCs w:val="18"/>
              </w:rPr>
            </w:pPr>
            <w:r w:rsidRPr="004D4E9A">
              <w:rPr>
                <w:rFonts w:ascii="Times New Roman" w:hAnsi="Times New Roman" w:cs="Times New Roman"/>
                <w:sz w:val="18"/>
                <w:szCs w:val="18"/>
              </w:rPr>
              <w:t>CD10:</w:t>
            </w:r>
          </w:p>
          <w:p w:rsidR="004D4E9A" w:rsidRPr="00F20A36" w:rsidRDefault="004D4E9A" w:rsidP="004D4E9A">
            <w:pPr>
              <w:spacing w:beforeLines="20" w:afterLines="20" w:line="240" w:lineRule="auto"/>
              <w:jc w:val="center"/>
              <w:rPr>
                <w:rFonts w:ascii="Times New Roman" w:hAnsi="Times New Roman" w:cs="Times New Roman"/>
                <w:sz w:val="18"/>
                <w:szCs w:val="18"/>
              </w:rPr>
            </w:pPr>
            <w:r>
              <w:rPr>
                <w:rFonts w:ascii="Times New Roman" w:hAnsi="Times New Roman" w:cs="Times New Roman"/>
                <w:sz w:val="18"/>
                <w:szCs w:val="18"/>
              </w:rPr>
              <w:t>Positive</w:t>
            </w:r>
          </w:p>
          <w:p w:rsidR="004D4E9A" w:rsidRDefault="004D4E9A" w:rsidP="004D4E9A">
            <w:pPr>
              <w:spacing w:beforeLines="20" w:afterLines="20" w:line="240" w:lineRule="auto"/>
              <w:jc w:val="center"/>
              <w:rPr>
                <w:rFonts w:ascii="Times New Roman" w:hAnsi="Times New Roman" w:cs="Times New Roman"/>
                <w:sz w:val="18"/>
                <w:szCs w:val="18"/>
              </w:rPr>
            </w:pPr>
            <w:r>
              <w:rPr>
                <w:rFonts w:ascii="Times New Roman" w:hAnsi="Times New Roman" w:cs="Times New Roman"/>
                <w:sz w:val="18"/>
                <w:szCs w:val="18"/>
              </w:rPr>
              <w:t>Negative</w:t>
            </w:r>
          </w:p>
          <w:p w:rsidR="004D4E9A" w:rsidRPr="004D4E9A" w:rsidRDefault="004D4E9A" w:rsidP="004D4E9A">
            <w:pPr>
              <w:spacing w:beforeLines="20" w:afterLines="20" w:line="240" w:lineRule="auto"/>
              <w:jc w:val="center"/>
              <w:rPr>
                <w:rFonts w:ascii="Times New Roman" w:hAnsi="Times New Roman" w:cs="Times New Roman"/>
                <w:sz w:val="18"/>
                <w:szCs w:val="18"/>
              </w:rPr>
            </w:pPr>
            <w:r w:rsidRPr="004D4E9A">
              <w:rPr>
                <w:rFonts w:ascii="Times New Roman" w:hAnsi="Times New Roman" w:cs="Times New Roman"/>
                <w:sz w:val="18"/>
                <w:szCs w:val="18"/>
              </w:rPr>
              <w:t>CD13/33:</w:t>
            </w:r>
          </w:p>
          <w:p w:rsidR="004D4E9A" w:rsidRPr="00F20A36" w:rsidRDefault="004D4E9A" w:rsidP="004D4E9A">
            <w:pPr>
              <w:spacing w:beforeLines="20" w:afterLines="20" w:line="240" w:lineRule="auto"/>
              <w:jc w:val="center"/>
              <w:rPr>
                <w:rFonts w:ascii="Times New Roman" w:hAnsi="Times New Roman" w:cs="Times New Roman"/>
                <w:sz w:val="18"/>
                <w:szCs w:val="18"/>
              </w:rPr>
            </w:pPr>
            <w:r>
              <w:rPr>
                <w:rFonts w:ascii="Times New Roman" w:hAnsi="Times New Roman" w:cs="Times New Roman"/>
                <w:sz w:val="18"/>
                <w:szCs w:val="18"/>
              </w:rPr>
              <w:t>Positive</w:t>
            </w:r>
          </w:p>
          <w:p w:rsidR="004D4E9A" w:rsidRPr="004D4E9A" w:rsidRDefault="004D4E9A" w:rsidP="004D4E9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Negative</w:t>
            </w:r>
          </w:p>
        </w:tc>
        <w:tc>
          <w:tcPr>
            <w:tcW w:w="340" w:type="pct"/>
            <w:shd w:val="clear" w:color="auto" w:fill="FBD4B4" w:themeFill="accent6" w:themeFillTint="66"/>
            <w:vAlign w:val="center"/>
            <w:hideMark/>
          </w:tcPr>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35</w:t>
            </w: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4</w:t>
            </w:r>
          </w:p>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6</w:t>
            </w: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33</w:t>
            </w:r>
          </w:p>
        </w:tc>
        <w:tc>
          <w:tcPr>
            <w:tcW w:w="527" w:type="pct"/>
            <w:shd w:val="clear" w:color="auto" w:fill="FBD4B4" w:themeFill="accent6" w:themeFillTint="66"/>
            <w:vAlign w:val="center"/>
            <w:hideMark/>
          </w:tcPr>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89.7</w:t>
            </w: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10.3</w:t>
            </w:r>
          </w:p>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15.4</w:t>
            </w: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84.6</w:t>
            </w:r>
          </w:p>
        </w:tc>
        <w:tc>
          <w:tcPr>
            <w:tcW w:w="277" w:type="pct"/>
            <w:shd w:val="clear" w:color="auto" w:fill="FBD4B4" w:themeFill="accent6" w:themeFillTint="66"/>
            <w:vAlign w:val="center"/>
            <w:hideMark/>
          </w:tcPr>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11</w:t>
            </w: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0</w:t>
            </w:r>
          </w:p>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5</w:t>
            </w: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6</w:t>
            </w:r>
          </w:p>
        </w:tc>
        <w:tc>
          <w:tcPr>
            <w:tcW w:w="443" w:type="pct"/>
            <w:shd w:val="clear" w:color="auto" w:fill="FBD4B4" w:themeFill="accent6" w:themeFillTint="66"/>
            <w:vAlign w:val="center"/>
            <w:hideMark/>
          </w:tcPr>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100</w:t>
            </w: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0</w:t>
            </w:r>
          </w:p>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45.5</w:t>
            </w: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54.5</w:t>
            </w:r>
          </w:p>
        </w:tc>
        <w:tc>
          <w:tcPr>
            <w:tcW w:w="339" w:type="pct"/>
            <w:shd w:val="clear" w:color="auto" w:fill="FBD4B4" w:themeFill="accent6" w:themeFillTint="66"/>
            <w:vAlign w:val="center"/>
            <w:hideMark/>
          </w:tcPr>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24</w:t>
            </w: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4</w:t>
            </w:r>
          </w:p>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1</w:t>
            </w: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27</w:t>
            </w:r>
          </w:p>
        </w:tc>
        <w:tc>
          <w:tcPr>
            <w:tcW w:w="448" w:type="pct"/>
            <w:shd w:val="clear" w:color="auto" w:fill="FBD4B4" w:themeFill="accent6" w:themeFillTint="66"/>
            <w:vAlign w:val="center"/>
            <w:hideMark/>
          </w:tcPr>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85.7</w:t>
            </w: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14.3</w:t>
            </w:r>
          </w:p>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3.6</w:t>
            </w: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96.4</w:t>
            </w:r>
          </w:p>
        </w:tc>
        <w:tc>
          <w:tcPr>
            <w:tcW w:w="491" w:type="pct"/>
            <w:shd w:val="clear" w:color="auto" w:fill="FBD4B4" w:themeFill="accent6" w:themeFillTint="66"/>
            <w:vAlign w:val="center"/>
          </w:tcPr>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0.314</w:t>
            </w:r>
          </w:p>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0.000</w:t>
            </w:r>
          </w:p>
        </w:tc>
        <w:tc>
          <w:tcPr>
            <w:tcW w:w="401" w:type="pct"/>
            <w:shd w:val="clear" w:color="auto" w:fill="FBD4B4" w:themeFill="accent6" w:themeFillTint="66"/>
            <w:vAlign w:val="center"/>
          </w:tcPr>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NS</w:t>
            </w:r>
          </w:p>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p>
          <w:p w:rsidR="004D4E9A" w:rsidRPr="004D4E9A" w:rsidRDefault="004D4E9A" w:rsidP="004D4E9A">
            <w:pPr>
              <w:spacing w:after="0" w:line="240" w:lineRule="auto"/>
              <w:jc w:val="center"/>
              <w:rPr>
                <w:rFonts w:ascii="Times New Roman" w:hAnsi="Times New Roman" w:cs="Times New Roman"/>
                <w:sz w:val="18"/>
                <w:szCs w:val="18"/>
              </w:rPr>
            </w:pPr>
            <w:r w:rsidRPr="004D4E9A">
              <w:rPr>
                <w:rFonts w:ascii="Times New Roman" w:hAnsi="Times New Roman" w:cs="Times New Roman"/>
                <w:sz w:val="18"/>
                <w:szCs w:val="18"/>
              </w:rPr>
              <w:t>HS</w:t>
            </w:r>
          </w:p>
        </w:tc>
      </w:tr>
    </w:tbl>
    <w:p w:rsidR="007A64B2" w:rsidRDefault="006E3AFC" w:rsidP="007A64B2">
      <w:pPr>
        <w:pStyle w:val="BodyText"/>
        <w:rPr>
          <w:sz w:val="17"/>
          <w:szCs w:val="17"/>
        </w:rPr>
      </w:pPr>
      <w:r>
        <w:rPr>
          <w:sz w:val="17"/>
          <w:szCs w:val="17"/>
        </w:rPr>
        <w:t xml:space="preserve">P: Prevelance HS: Highly Significant, S: Significant, NS: None Significant, </w:t>
      </w:r>
      <w:r w:rsidRPr="009E0DCD">
        <w:rPr>
          <w:sz w:val="17"/>
          <w:szCs w:val="17"/>
        </w:rPr>
        <w:t>Hb: hemoglobin, TLC: total</w:t>
      </w:r>
      <w:r>
        <w:rPr>
          <w:sz w:val="17"/>
          <w:szCs w:val="17"/>
        </w:rPr>
        <w:t xml:space="preserve"> </w:t>
      </w:r>
      <w:r w:rsidRPr="009E0DCD">
        <w:rPr>
          <w:sz w:val="17"/>
          <w:szCs w:val="17"/>
        </w:rPr>
        <w:t xml:space="preserve"> leucocy</w:t>
      </w:r>
      <w:r>
        <w:rPr>
          <w:sz w:val="17"/>
          <w:szCs w:val="17"/>
        </w:rPr>
        <w:t>tic count, IPT; Immunoph</w:t>
      </w:r>
      <w:r w:rsidR="00503840">
        <w:rPr>
          <w:sz w:val="17"/>
          <w:szCs w:val="17"/>
        </w:rPr>
        <w:t>enotyping</w:t>
      </w:r>
      <w:r>
        <w:rPr>
          <w:sz w:val="17"/>
          <w:szCs w:val="17"/>
        </w:rPr>
        <w:t>.</w:t>
      </w:r>
    </w:p>
    <w:p w:rsidR="006C0954" w:rsidRPr="000959EB" w:rsidRDefault="00D103C6" w:rsidP="00D103C6">
      <w:pPr>
        <w:pStyle w:val="ListParagraph"/>
        <w:spacing w:before="120" w:line="420" w:lineRule="atLeast"/>
        <w:ind w:left="0"/>
        <w:contextualSpacing w:val="0"/>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2724556</wp:posOffset>
            </wp:positionH>
            <wp:positionV relativeFrom="paragraph">
              <wp:posOffset>22473</wp:posOffset>
            </wp:positionV>
            <wp:extent cx="2795637" cy="1749287"/>
            <wp:effectExtent l="19050" t="0" r="4713" b="0"/>
            <wp:wrapNone/>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5637" cy="1749287"/>
                    </a:xfrm>
                    <a:prstGeom prst="rect">
                      <a:avLst/>
                    </a:prstGeom>
                    <a:noFill/>
                  </pic:spPr>
                </pic:pic>
              </a:graphicData>
            </a:graphic>
          </wp:anchor>
        </w:drawing>
      </w:r>
      <w:r>
        <w:rPr>
          <w:noProof/>
          <w:sz w:val="28"/>
          <w:szCs w:val="28"/>
        </w:rPr>
        <w:drawing>
          <wp:anchor distT="0" distB="0" distL="114300" distR="114300" simplePos="0" relativeHeight="251662336" behindDoc="0" locked="0" layoutInCell="1" allowOverlap="1">
            <wp:simplePos x="0" y="0"/>
            <wp:positionH relativeFrom="column">
              <wp:posOffset>-19050</wp:posOffset>
            </wp:positionH>
            <wp:positionV relativeFrom="paragraph">
              <wp:posOffset>22225</wp:posOffset>
            </wp:positionV>
            <wp:extent cx="2724150" cy="1748790"/>
            <wp:effectExtent l="1905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748790"/>
                    </a:xfrm>
                    <a:prstGeom prst="rect">
                      <a:avLst/>
                    </a:prstGeom>
                    <a:noFill/>
                  </pic:spPr>
                </pic:pic>
              </a:graphicData>
            </a:graphic>
          </wp:anchor>
        </w:drawing>
      </w:r>
    </w:p>
    <w:p w:rsidR="00335582" w:rsidRPr="00E334BC" w:rsidRDefault="00335582" w:rsidP="006C0954">
      <w:pPr>
        <w:spacing w:before="120" w:line="420" w:lineRule="atLeast"/>
        <w:jc w:val="both"/>
        <w:rPr>
          <w:sz w:val="28"/>
          <w:szCs w:val="28"/>
        </w:rPr>
      </w:pPr>
    </w:p>
    <w:p w:rsidR="00335582" w:rsidRDefault="00335582" w:rsidP="00E56E2B">
      <w:pPr>
        <w:jc w:val="both"/>
        <w:rPr>
          <w:rFonts w:asciiTheme="majorBidi" w:eastAsia="Times New Roman" w:hAnsiTheme="majorBidi" w:cstheme="majorBidi"/>
          <w:b/>
          <w:bCs/>
          <w:sz w:val="28"/>
          <w:szCs w:val="28"/>
        </w:rPr>
        <w:sectPr w:rsidR="00335582" w:rsidSect="00E14821">
          <w:type w:val="continuous"/>
          <w:pgSz w:w="12240" w:h="15840"/>
          <w:pgMar w:top="1440" w:right="1800" w:bottom="1440" w:left="1800" w:header="708" w:footer="708" w:gutter="0"/>
          <w:cols w:space="708"/>
          <w:docGrid w:linePitch="360"/>
        </w:sectPr>
      </w:pPr>
    </w:p>
    <w:p w:rsidR="00D103C6" w:rsidRDefault="00D103C6" w:rsidP="00335582">
      <w:pPr>
        <w:spacing w:line="240" w:lineRule="auto"/>
        <w:jc w:val="both"/>
        <w:rPr>
          <w:rFonts w:asciiTheme="majorBidi" w:eastAsia="Times New Roman" w:hAnsiTheme="majorBidi" w:cstheme="majorBidi"/>
          <w:b/>
          <w:bCs/>
        </w:rPr>
      </w:pPr>
    </w:p>
    <w:p w:rsidR="00D103C6" w:rsidRDefault="00D103C6" w:rsidP="00335582">
      <w:pPr>
        <w:spacing w:line="240" w:lineRule="auto"/>
        <w:jc w:val="both"/>
        <w:rPr>
          <w:rFonts w:asciiTheme="majorBidi" w:eastAsia="Times New Roman" w:hAnsiTheme="majorBidi" w:cstheme="majorBidi"/>
          <w:b/>
          <w:bCs/>
        </w:rPr>
      </w:pPr>
    </w:p>
    <w:p w:rsidR="00D103C6" w:rsidRDefault="00D103C6" w:rsidP="00335582">
      <w:pPr>
        <w:spacing w:line="240" w:lineRule="auto"/>
        <w:jc w:val="both"/>
        <w:rPr>
          <w:rFonts w:asciiTheme="majorBidi" w:eastAsia="Times New Roman" w:hAnsiTheme="majorBidi" w:cstheme="majorBidi"/>
          <w:b/>
          <w:bCs/>
        </w:rPr>
      </w:pPr>
    </w:p>
    <w:p w:rsidR="00D103C6" w:rsidRDefault="00334EE9" w:rsidP="00335582">
      <w:pPr>
        <w:spacing w:line="240" w:lineRule="auto"/>
        <w:jc w:val="both"/>
        <w:rPr>
          <w:rFonts w:asciiTheme="majorBidi" w:eastAsia="Times New Roman" w:hAnsiTheme="majorBidi" w:cstheme="majorBidi"/>
          <w:b/>
          <w:bCs/>
        </w:rPr>
      </w:pPr>
      <w:r w:rsidRPr="00334EE9">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1.45pt;margin-top:6.85pt;width:213.75pt;height:41.15pt;z-index:251660288;mso-width-relative:margin;mso-height-relative:margin">
            <v:textbox style="mso-next-textbox:#_x0000_s1026">
              <w:txbxContent>
                <w:p w:rsidR="008A5EF5" w:rsidRPr="008A5EF5" w:rsidRDefault="00335582" w:rsidP="00D103C6">
                  <w:pPr>
                    <w:pStyle w:val="ListParagraph"/>
                    <w:spacing w:after="0"/>
                    <w:ind w:left="0"/>
                    <w:rPr>
                      <w:rFonts w:asciiTheme="majorBidi" w:hAnsiTheme="majorBidi" w:cstheme="majorBidi"/>
                      <w:sz w:val="16"/>
                      <w:szCs w:val="16"/>
                    </w:rPr>
                  </w:pPr>
                  <w:r w:rsidRPr="00181865">
                    <w:rPr>
                      <w:rFonts w:asciiTheme="majorBidi" w:hAnsiTheme="majorBidi" w:cstheme="majorBidi"/>
                      <w:b/>
                      <w:bCs/>
                      <w:sz w:val="16"/>
                      <w:szCs w:val="16"/>
                    </w:rPr>
                    <w:t>Figure (1):</w:t>
                  </w:r>
                  <w:r w:rsidRPr="00335582">
                    <w:rPr>
                      <w:sz w:val="14"/>
                      <w:szCs w:val="14"/>
                    </w:rPr>
                    <w:t xml:space="preserve"> </w:t>
                  </w:r>
                  <w:r w:rsidR="008A5EF5" w:rsidRPr="008A5EF5">
                    <w:rPr>
                      <w:rFonts w:asciiTheme="majorBidi" w:hAnsiTheme="majorBidi" w:cstheme="majorBidi"/>
                      <w:sz w:val="16"/>
                      <w:szCs w:val="16"/>
                    </w:rPr>
                    <w:t xml:space="preserve">Bar </w:t>
                  </w:r>
                  <w:r w:rsidR="008A5EF5">
                    <w:rPr>
                      <w:rFonts w:asciiTheme="majorBidi" w:hAnsiTheme="majorBidi" w:cstheme="majorBidi"/>
                      <w:sz w:val="16"/>
                      <w:szCs w:val="16"/>
                    </w:rPr>
                    <w:t xml:space="preserve">chart of age in relation to ALL </w:t>
                  </w:r>
                  <w:r w:rsidR="008A5EF5" w:rsidRPr="008A5EF5">
                    <w:rPr>
                      <w:rFonts w:asciiTheme="majorBidi" w:hAnsiTheme="majorBidi" w:cstheme="majorBidi"/>
                      <w:sz w:val="16"/>
                      <w:szCs w:val="16"/>
                    </w:rPr>
                    <w:t>patients’t(9;22).</w:t>
                  </w:r>
                </w:p>
                <w:p w:rsidR="00335582" w:rsidRDefault="008A5EF5" w:rsidP="008A5EF5">
                  <w:pPr>
                    <w:pStyle w:val="ListParagraph"/>
                    <w:spacing w:before="240"/>
                    <w:ind w:left="0"/>
                    <w:jc w:val="both"/>
                  </w:pPr>
                  <w:r>
                    <w:rPr>
                      <w:rFonts w:asciiTheme="majorBidi" w:hAnsiTheme="majorBidi" w:cstheme="majorBidi"/>
                      <w:sz w:val="16"/>
                      <w:szCs w:val="16"/>
                    </w:rPr>
                    <w:t></w:t>
                  </w:r>
                  <w:r w:rsidRPr="008A5EF5">
                    <w:rPr>
                      <w:rFonts w:asciiTheme="majorBidi" w:hAnsiTheme="majorBidi" w:cstheme="majorBidi"/>
                      <w:sz w:val="16"/>
                      <w:szCs w:val="16"/>
                    </w:rPr>
                    <w:t>81.8% of patients with t(9;22) had age&gt; 35 yrs old.</w:t>
                  </w:r>
                  <w:r w:rsidRPr="008A5EF5">
                    <w:rPr>
                      <w:rFonts w:asciiTheme="majorBidi" w:hAnsiTheme="majorBidi" w:cstheme="majorBidi"/>
                      <w:sz w:val="16"/>
                      <w:szCs w:val="16"/>
                    </w:rPr>
                    <w:tab/>
                  </w:r>
                </w:p>
              </w:txbxContent>
            </v:textbox>
          </v:shape>
        </w:pict>
      </w:r>
    </w:p>
    <w:p w:rsidR="00D103C6" w:rsidRDefault="00D103C6" w:rsidP="00335582">
      <w:pPr>
        <w:spacing w:line="240" w:lineRule="auto"/>
        <w:jc w:val="both"/>
        <w:rPr>
          <w:rFonts w:asciiTheme="majorBidi" w:eastAsia="Times New Roman" w:hAnsiTheme="majorBidi" w:cstheme="majorBidi"/>
          <w:b/>
          <w:bCs/>
        </w:rPr>
      </w:pPr>
    </w:p>
    <w:p w:rsidR="00D103C6" w:rsidRDefault="00D103C6" w:rsidP="00335582">
      <w:pPr>
        <w:spacing w:line="240" w:lineRule="auto"/>
        <w:jc w:val="both"/>
        <w:rPr>
          <w:rFonts w:asciiTheme="majorBidi" w:eastAsia="Times New Roman" w:hAnsiTheme="majorBidi" w:cstheme="majorBidi"/>
          <w:b/>
          <w:bCs/>
        </w:rPr>
      </w:pPr>
    </w:p>
    <w:p w:rsidR="00D103C6" w:rsidRDefault="00D103C6" w:rsidP="00335582">
      <w:pPr>
        <w:spacing w:line="240" w:lineRule="auto"/>
        <w:jc w:val="both"/>
        <w:rPr>
          <w:rFonts w:asciiTheme="majorBidi" w:eastAsia="Times New Roman" w:hAnsiTheme="majorBidi" w:cstheme="majorBidi"/>
          <w:b/>
          <w:bCs/>
        </w:rPr>
      </w:pPr>
    </w:p>
    <w:p w:rsidR="00D103C6" w:rsidRDefault="00D103C6" w:rsidP="00335582">
      <w:pPr>
        <w:spacing w:line="240" w:lineRule="auto"/>
        <w:jc w:val="both"/>
        <w:rPr>
          <w:rFonts w:asciiTheme="majorBidi" w:eastAsia="Times New Roman" w:hAnsiTheme="majorBidi" w:cstheme="majorBidi"/>
          <w:b/>
          <w:bCs/>
        </w:rPr>
      </w:pPr>
    </w:p>
    <w:p w:rsidR="00D103C6" w:rsidRDefault="00334EE9" w:rsidP="00335582">
      <w:pPr>
        <w:spacing w:line="240" w:lineRule="auto"/>
        <w:jc w:val="both"/>
        <w:rPr>
          <w:rFonts w:asciiTheme="majorBidi" w:eastAsia="Times New Roman" w:hAnsiTheme="majorBidi" w:cstheme="majorBidi"/>
          <w:b/>
          <w:bCs/>
        </w:rPr>
      </w:pPr>
      <w:r w:rsidRPr="00334EE9">
        <w:rPr>
          <w:noProof/>
          <w:sz w:val="28"/>
          <w:szCs w:val="28"/>
        </w:rPr>
        <w:pict>
          <v:shape id="_x0000_s1027" type="#_x0000_t202" style="position:absolute;left:0;text-align:left;margin-left:-15.65pt;margin-top:6.85pt;width:216.6pt;height:41.15pt;z-index:251661312;mso-width-relative:margin;mso-height-relative:margin">
            <v:textbox style="mso-next-textbox:#_x0000_s1027">
              <w:txbxContent>
                <w:p w:rsidR="00181865" w:rsidRPr="00181865" w:rsidRDefault="00335582" w:rsidP="00181865">
                  <w:pPr>
                    <w:pStyle w:val="ListParagraph"/>
                    <w:spacing w:after="0"/>
                    <w:ind w:left="0"/>
                    <w:rPr>
                      <w:rFonts w:asciiTheme="majorBidi" w:hAnsiTheme="majorBidi" w:cstheme="majorBidi"/>
                      <w:sz w:val="16"/>
                      <w:szCs w:val="16"/>
                    </w:rPr>
                  </w:pPr>
                  <w:r w:rsidRPr="00335582">
                    <w:rPr>
                      <w:rFonts w:asciiTheme="majorBidi" w:hAnsiTheme="majorBidi" w:cstheme="majorBidi"/>
                      <w:b/>
                      <w:bCs/>
                      <w:sz w:val="16"/>
                      <w:szCs w:val="16"/>
                    </w:rPr>
                    <w:t xml:space="preserve">Figure (2): </w:t>
                  </w:r>
                  <w:r w:rsidR="00181865" w:rsidRPr="00181865">
                    <w:rPr>
                      <w:rFonts w:asciiTheme="majorBidi" w:hAnsiTheme="majorBidi" w:cstheme="majorBidi"/>
                      <w:sz w:val="16"/>
                      <w:szCs w:val="16"/>
                    </w:rPr>
                    <w:t>Bar chart of TLC in relation to ALL patients’t(9;22).</w:t>
                  </w:r>
                </w:p>
                <w:p w:rsidR="00335582" w:rsidRDefault="00181865" w:rsidP="00181865">
                  <w:pPr>
                    <w:pStyle w:val="ListParagraph"/>
                    <w:spacing w:after="0"/>
                    <w:ind w:left="0"/>
                  </w:pPr>
                  <w:r>
                    <w:rPr>
                      <w:rFonts w:asciiTheme="majorBidi" w:hAnsiTheme="majorBidi" w:cstheme="majorBidi"/>
                      <w:sz w:val="16"/>
                      <w:szCs w:val="16"/>
                    </w:rPr>
                    <w:t></w:t>
                  </w:r>
                  <w:r w:rsidRPr="00181865">
                    <w:rPr>
                      <w:rFonts w:asciiTheme="majorBidi" w:hAnsiTheme="majorBidi" w:cstheme="majorBidi"/>
                      <w:sz w:val="16"/>
                      <w:szCs w:val="16"/>
                    </w:rPr>
                    <w:t>72.7% of patients with t(9;22)  had TLC &gt; 50X109/L.</w:t>
                  </w:r>
                </w:p>
              </w:txbxContent>
            </v:textbox>
          </v:shape>
        </w:pict>
      </w:r>
    </w:p>
    <w:p w:rsidR="00D103C6" w:rsidRDefault="00D103C6" w:rsidP="00335582">
      <w:pPr>
        <w:spacing w:line="240" w:lineRule="auto"/>
        <w:jc w:val="both"/>
        <w:rPr>
          <w:rFonts w:asciiTheme="majorBidi" w:eastAsia="Times New Roman" w:hAnsiTheme="majorBidi" w:cstheme="majorBidi"/>
          <w:b/>
          <w:bCs/>
        </w:rPr>
      </w:pPr>
    </w:p>
    <w:p w:rsidR="00E56E2B" w:rsidRPr="005D05BB" w:rsidRDefault="00E56E2B" w:rsidP="005D05BB">
      <w:pPr>
        <w:spacing w:after="0" w:line="240" w:lineRule="auto"/>
        <w:jc w:val="both"/>
        <w:rPr>
          <w:rFonts w:asciiTheme="majorBidi" w:eastAsia="Times New Roman" w:hAnsiTheme="majorBidi" w:cstheme="majorBidi"/>
          <w:b/>
          <w:bCs/>
          <w:sz w:val="28"/>
          <w:szCs w:val="28"/>
        </w:rPr>
      </w:pPr>
      <w:r w:rsidRPr="005D05BB">
        <w:rPr>
          <w:rFonts w:asciiTheme="majorBidi" w:eastAsia="Times New Roman" w:hAnsiTheme="majorBidi" w:cstheme="majorBidi"/>
          <w:b/>
          <w:bCs/>
          <w:sz w:val="28"/>
          <w:szCs w:val="28"/>
        </w:rPr>
        <w:lastRenderedPageBreak/>
        <w:t>Discussion</w:t>
      </w:r>
    </w:p>
    <w:p w:rsidR="007100EB" w:rsidRPr="005D05BB" w:rsidRDefault="007100EB" w:rsidP="005D05BB">
      <w:pPr>
        <w:spacing w:after="0" w:line="240" w:lineRule="auto"/>
        <w:ind w:firstLine="284"/>
        <w:jc w:val="both"/>
        <w:rPr>
          <w:rFonts w:ascii="Times New Roman" w:eastAsia="Times New Roman" w:hAnsi="Times New Roman" w:cs="Times New Roman"/>
          <w:color w:val="000000"/>
          <w:sz w:val="24"/>
          <w:szCs w:val="24"/>
        </w:rPr>
      </w:pPr>
      <w:r w:rsidRPr="005D05BB">
        <w:rPr>
          <w:rFonts w:ascii="Times New Roman" w:eastAsia="Times New Roman" w:hAnsi="Times New Roman" w:cs="Times New Roman"/>
          <w:color w:val="000000"/>
          <w:sz w:val="24"/>
          <w:szCs w:val="24"/>
        </w:rPr>
        <w:t>The current study was carried out on thirty nine diagnosed patients suffering from acute lymphoblastic leukemia.</w:t>
      </w:r>
    </w:p>
    <w:p w:rsidR="00365321" w:rsidRPr="005D05BB" w:rsidRDefault="007100EB" w:rsidP="005D05B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D05BB">
        <w:rPr>
          <w:rFonts w:ascii="Times New Roman" w:eastAsia="Times New Roman" w:hAnsi="Times New Roman" w:cs="Times New Roman"/>
          <w:color w:val="000000"/>
          <w:sz w:val="24"/>
          <w:szCs w:val="24"/>
        </w:rPr>
        <w:t xml:space="preserve">      </w:t>
      </w:r>
      <w:r w:rsidR="00365321" w:rsidRPr="005D05BB">
        <w:rPr>
          <w:rFonts w:ascii="Times New Roman" w:eastAsia="Times New Roman" w:hAnsi="Times New Roman" w:cs="Times New Roman"/>
          <w:color w:val="000000"/>
          <w:sz w:val="24"/>
          <w:szCs w:val="24"/>
        </w:rPr>
        <w:t xml:space="preserve">In the present work ph chromosome present in 11 patients with a frequency of  28.2% (11/39 cases). This is in concordance with </w:t>
      </w:r>
      <w:r w:rsidR="00365321" w:rsidRPr="005D05BB">
        <w:rPr>
          <w:rFonts w:ascii="Times New Roman" w:eastAsia="Times New Roman" w:hAnsi="Times New Roman" w:cs="Times New Roman"/>
          <w:b/>
          <w:bCs/>
          <w:color w:val="000000"/>
          <w:sz w:val="24"/>
          <w:szCs w:val="24"/>
        </w:rPr>
        <w:t>(Ghazavi F et al., 2015)</w:t>
      </w:r>
      <w:r w:rsidR="00365321" w:rsidRPr="005D05BB">
        <w:rPr>
          <w:rFonts w:ascii="Times New Roman" w:eastAsia="Times New Roman" w:hAnsi="Times New Roman" w:cs="Times New Roman"/>
          <w:color w:val="000000"/>
          <w:sz w:val="24"/>
          <w:szCs w:val="24"/>
        </w:rPr>
        <w:t xml:space="preserve">  who reported that ph chromosome is occurs with an incidence in adult (30%) but slightly higher than </w:t>
      </w:r>
      <w:r w:rsidR="00365321" w:rsidRPr="005D05BB">
        <w:rPr>
          <w:rFonts w:ascii="Times New Roman" w:eastAsia="Times New Roman" w:hAnsi="Times New Roman" w:cs="Times New Roman"/>
          <w:b/>
          <w:bCs/>
          <w:color w:val="000000"/>
          <w:sz w:val="24"/>
          <w:szCs w:val="24"/>
        </w:rPr>
        <w:t>(Noreen et al.,2012)</w:t>
      </w:r>
      <w:r w:rsidR="00365321" w:rsidRPr="005D05BB">
        <w:rPr>
          <w:rFonts w:ascii="Times New Roman" w:eastAsia="Times New Roman" w:hAnsi="Times New Roman" w:cs="Times New Roman"/>
          <w:color w:val="000000"/>
          <w:sz w:val="24"/>
          <w:szCs w:val="24"/>
        </w:rPr>
        <w:t xml:space="preserve"> who reported that BCR/ABL fusion gene is occurs with an incidence (20.3%) . </w:t>
      </w:r>
    </w:p>
    <w:p w:rsidR="007100EB" w:rsidRPr="005D05BB" w:rsidRDefault="00365321" w:rsidP="005D05BB">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5D05BB">
        <w:rPr>
          <w:rFonts w:ascii="Times New Roman" w:eastAsia="Times New Roman" w:hAnsi="Times New Roman" w:cs="Times New Roman"/>
          <w:color w:val="000000"/>
          <w:sz w:val="24"/>
          <w:szCs w:val="24"/>
        </w:rPr>
        <w:t xml:space="preserve">Moreover MLL (11q23) gene rearrangements present in 2 patients with a frequency of  5.1% which lesser than </w:t>
      </w:r>
      <w:r w:rsidRPr="005D05BB">
        <w:rPr>
          <w:rFonts w:ascii="Times New Roman" w:eastAsia="Times New Roman" w:hAnsi="Times New Roman" w:cs="Times New Roman"/>
          <w:b/>
          <w:bCs/>
          <w:color w:val="000000"/>
          <w:sz w:val="24"/>
          <w:szCs w:val="24"/>
        </w:rPr>
        <w:t>(</w:t>
      </w:r>
      <w:r w:rsidR="00353E9D" w:rsidRPr="005D05BB">
        <w:rPr>
          <w:rFonts w:ascii="Times New Roman" w:eastAsia="Times New Roman" w:hAnsi="Times New Roman" w:cs="Times New Roman"/>
          <w:b/>
          <w:bCs/>
          <w:color w:val="000000"/>
          <w:sz w:val="24"/>
          <w:szCs w:val="24"/>
        </w:rPr>
        <w:t>Schafer</w:t>
      </w:r>
      <w:r w:rsidRPr="005D05BB">
        <w:rPr>
          <w:rFonts w:ascii="Times New Roman" w:eastAsia="Times New Roman" w:hAnsi="Times New Roman" w:cs="Times New Roman"/>
          <w:b/>
          <w:bCs/>
          <w:color w:val="000000"/>
          <w:sz w:val="24"/>
          <w:szCs w:val="24"/>
        </w:rPr>
        <w:t xml:space="preserve"> et al., 2015)</w:t>
      </w:r>
      <w:r w:rsidRPr="005D05BB">
        <w:rPr>
          <w:rFonts w:ascii="Times New Roman" w:eastAsia="Times New Roman" w:hAnsi="Times New Roman" w:cs="Times New Roman"/>
          <w:color w:val="000000"/>
          <w:sz w:val="24"/>
          <w:szCs w:val="24"/>
        </w:rPr>
        <w:t xml:space="preserve"> who reported MLL gene rearrangement with 10% in adult ALL and 8% of pediatric ALL with about 80% of them in infants. the t(1;19) present in one patient with a frequency of  2.56% which is in concordance with </w:t>
      </w:r>
      <w:r w:rsidRPr="005D05BB">
        <w:rPr>
          <w:rFonts w:ascii="Times New Roman" w:eastAsia="Times New Roman" w:hAnsi="Times New Roman" w:cs="Times New Roman"/>
          <w:b/>
          <w:bCs/>
          <w:color w:val="000000"/>
          <w:sz w:val="24"/>
          <w:szCs w:val="24"/>
        </w:rPr>
        <w:t>(Al Ustwania et al., 2016)</w:t>
      </w:r>
      <w:r w:rsidRPr="005D05BB">
        <w:rPr>
          <w:rFonts w:ascii="Times New Roman" w:eastAsia="Times New Roman" w:hAnsi="Times New Roman" w:cs="Times New Roman"/>
          <w:color w:val="000000"/>
          <w:sz w:val="24"/>
          <w:szCs w:val="24"/>
        </w:rPr>
        <w:t xml:space="preserve"> that reported t(1;19) 3% in adult ALL.</w:t>
      </w:r>
    </w:p>
    <w:p w:rsidR="005D05BB" w:rsidRDefault="00A9439A" w:rsidP="005D05BB">
      <w:pPr>
        <w:spacing w:after="0" w:line="240" w:lineRule="auto"/>
        <w:ind w:firstLine="284"/>
        <w:jc w:val="both"/>
        <w:rPr>
          <w:rFonts w:asciiTheme="majorBidi" w:hAnsiTheme="majorBidi" w:cstheme="majorBidi"/>
          <w:sz w:val="24"/>
          <w:szCs w:val="24"/>
        </w:rPr>
      </w:pPr>
      <w:r w:rsidRPr="005D05BB">
        <w:rPr>
          <w:rFonts w:asciiTheme="majorBidi" w:eastAsia="Times New Roman" w:hAnsiTheme="majorBidi" w:cstheme="majorBidi"/>
          <w:sz w:val="24"/>
          <w:szCs w:val="24"/>
        </w:rPr>
        <w:t xml:space="preserve">According to t(9;22) in relation to different prognostic factors. </w:t>
      </w:r>
      <w:r w:rsidR="00365321" w:rsidRPr="005D05BB">
        <w:rPr>
          <w:rFonts w:asciiTheme="majorBidi" w:eastAsia="Times New Roman" w:hAnsiTheme="majorBidi" w:cstheme="majorBidi"/>
          <w:sz w:val="24"/>
          <w:szCs w:val="24"/>
        </w:rPr>
        <w:t>It showed that</w:t>
      </w:r>
      <w:r w:rsidR="00365321" w:rsidRPr="005D05BB">
        <w:rPr>
          <w:rFonts w:asciiTheme="majorBidi" w:hAnsiTheme="majorBidi" w:cstheme="majorBidi"/>
          <w:sz w:val="24"/>
          <w:szCs w:val="24"/>
        </w:rPr>
        <w:t xml:space="preserve"> most of ph +ve ALL patients were presented with age &gt; 35 years old so high significant relation (p=0.005) was detected between the patients age and ph +ve ALL patients. As regards clinical findings in this work, all of ph +ve ALL patients had hepatosplenomegaly with high significant relation (p=0.000) between them. While 9.1% of ph +ve ALL patients had lymphadenopathy with </w:t>
      </w:r>
      <w:r w:rsidR="00365321" w:rsidRPr="005D05BB">
        <w:rPr>
          <w:rFonts w:asciiTheme="majorBidi" w:hAnsiTheme="majorBidi" w:cstheme="majorBidi"/>
          <w:sz w:val="24"/>
          <w:szCs w:val="24"/>
          <w:lang w:bidi="ar-EG"/>
        </w:rPr>
        <w:t xml:space="preserve">high significant, negative relation </w:t>
      </w:r>
      <w:r w:rsidR="00365321" w:rsidRPr="005D05BB">
        <w:rPr>
          <w:rFonts w:asciiTheme="majorBidi" w:hAnsiTheme="majorBidi" w:cstheme="majorBidi"/>
          <w:sz w:val="24"/>
          <w:szCs w:val="24"/>
        </w:rPr>
        <w:t xml:space="preserve">(p=0.000) </w:t>
      </w:r>
      <w:r w:rsidR="00365321" w:rsidRPr="005D05BB">
        <w:rPr>
          <w:rFonts w:asciiTheme="majorBidi" w:hAnsiTheme="majorBidi" w:cstheme="majorBidi"/>
          <w:sz w:val="24"/>
          <w:szCs w:val="24"/>
          <w:lang w:bidi="ar-EG"/>
        </w:rPr>
        <w:t xml:space="preserve"> between</w:t>
      </w:r>
      <w:r w:rsidR="00365321" w:rsidRPr="005D05BB">
        <w:rPr>
          <w:rFonts w:asciiTheme="majorBidi" w:hAnsiTheme="majorBidi" w:cstheme="majorBidi"/>
          <w:sz w:val="24"/>
          <w:szCs w:val="24"/>
        </w:rPr>
        <w:t xml:space="preserve"> lymphadenopathy and  ph +ve ALL patients. But  9.1% had CNS infilteration with  no significant association (p=0.482) to  ph +ve, but these results differ from </w:t>
      </w:r>
      <w:r w:rsidR="00365321" w:rsidRPr="005D05BB">
        <w:rPr>
          <w:rFonts w:asciiTheme="majorBidi" w:hAnsiTheme="majorBidi" w:cstheme="majorBidi"/>
          <w:i/>
          <w:iCs/>
          <w:sz w:val="24"/>
          <w:szCs w:val="24"/>
        </w:rPr>
        <w:t>(</w:t>
      </w:r>
      <w:r w:rsidR="00365321" w:rsidRPr="005D05BB">
        <w:rPr>
          <w:rFonts w:asciiTheme="majorBidi" w:hAnsiTheme="majorBidi" w:cstheme="majorBidi"/>
          <w:b/>
          <w:bCs/>
          <w:i/>
          <w:iCs/>
          <w:sz w:val="24"/>
          <w:szCs w:val="24"/>
        </w:rPr>
        <w:t>Ilana de Franc et al.,2014)</w:t>
      </w:r>
      <w:r w:rsidR="00365321" w:rsidRPr="005D05BB">
        <w:rPr>
          <w:rFonts w:asciiTheme="majorBidi" w:hAnsiTheme="majorBidi" w:cstheme="majorBidi"/>
          <w:sz w:val="24"/>
          <w:szCs w:val="24"/>
        </w:rPr>
        <w:t xml:space="preserve"> that</w:t>
      </w:r>
      <w:r w:rsidR="00365321" w:rsidRPr="005D05BB">
        <w:rPr>
          <w:rFonts w:asciiTheme="majorBidi" w:hAnsiTheme="majorBidi" w:cstheme="majorBidi"/>
          <w:b/>
          <w:bCs/>
          <w:i/>
          <w:iCs/>
          <w:sz w:val="24"/>
          <w:szCs w:val="24"/>
        </w:rPr>
        <w:t xml:space="preserve"> </w:t>
      </w:r>
      <w:r w:rsidR="00365321" w:rsidRPr="005D05BB">
        <w:rPr>
          <w:rFonts w:asciiTheme="majorBidi" w:hAnsiTheme="majorBidi" w:cstheme="majorBidi"/>
          <w:sz w:val="24"/>
          <w:szCs w:val="24"/>
        </w:rPr>
        <w:t>showed no statistically significant differences  between BCR-</w:t>
      </w:r>
    </w:p>
    <w:p w:rsidR="005D05BB" w:rsidRDefault="005D05BB" w:rsidP="005D05BB">
      <w:pPr>
        <w:spacing w:after="0" w:line="240" w:lineRule="auto"/>
        <w:ind w:firstLine="284"/>
        <w:jc w:val="both"/>
        <w:rPr>
          <w:rFonts w:asciiTheme="majorBidi" w:hAnsiTheme="majorBidi" w:cstheme="majorBidi"/>
          <w:sz w:val="24"/>
          <w:szCs w:val="24"/>
        </w:rPr>
      </w:pPr>
    </w:p>
    <w:p w:rsidR="005D05BB" w:rsidRDefault="005D05BB" w:rsidP="005D05BB">
      <w:pPr>
        <w:spacing w:after="0" w:line="240" w:lineRule="auto"/>
        <w:ind w:firstLine="284"/>
        <w:jc w:val="both"/>
        <w:rPr>
          <w:rFonts w:asciiTheme="majorBidi" w:hAnsiTheme="majorBidi" w:cstheme="majorBidi"/>
          <w:sz w:val="24"/>
          <w:szCs w:val="24"/>
        </w:rPr>
      </w:pPr>
    </w:p>
    <w:p w:rsidR="00365321" w:rsidRPr="005D05BB" w:rsidRDefault="00365321" w:rsidP="005D05BB">
      <w:pPr>
        <w:spacing w:after="0" w:line="240" w:lineRule="auto"/>
        <w:ind w:firstLine="284"/>
        <w:jc w:val="both"/>
        <w:rPr>
          <w:rFonts w:asciiTheme="majorBidi" w:hAnsiTheme="majorBidi" w:cstheme="majorBidi"/>
          <w:sz w:val="24"/>
          <w:szCs w:val="24"/>
        </w:rPr>
      </w:pPr>
      <w:r w:rsidRPr="005D05BB">
        <w:rPr>
          <w:rFonts w:asciiTheme="majorBidi" w:hAnsiTheme="majorBidi" w:cstheme="majorBidi"/>
          <w:sz w:val="24"/>
          <w:szCs w:val="24"/>
        </w:rPr>
        <w:t>ABL positive and negative patients in respect to the clinical variables.</w:t>
      </w:r>
    </w:p>
    <w:p w:rsidR="00A9439A" w:rsidRPr="005D05BB" w:rsidRDefault="00A9439A" w:rsidP="005D05BB">
      <w:pPr>
        <w:spacing w:after="0" w:line="240" w:lineRule="auto"/>
        <w:ind w:firstLine="284"/>
        <w:jc w:val="both"/>
        <w:rPr>
          <w:rFonts w:asciiTheme="majorBidi" w:eastAsia="Times New Roman" w:hAnsiTheme="majorBidi" w:cstheme="majorBidi"/>
          <w:sz w:val="24"/>
          <w:szCs w:val="24"/>
        </w:rPr>
      </w:pPr>
      <w:r w:rsidRPr="005D05BB">
        <w:rPr>
          <w:rFonts w:ascii="Times New Roman" w:hAnsi="Times New Roman" w:cs="Times New Roman"/>
          <w:sz w:val="24"/>
          <w:szCs w:val="24"/>
        </w:rPr>
        <w:t xml:space="preserve">  As regards the haematological findings,</w:t>
      </w:r>
      <w:r w:rsidRPr="005D05BB">
        <w:rPr>
          <w:rFonts w:asciiTheme="majorBidi" w:hAnsiTheme="majorBidi" w:cstheme="majorBidi"/>
          <w:sz w:val="24"/>
          <w:szCs w:val="24"/>
          <w:lang w:bidi="ar-EG"/>
        </w:rPr>
        <w:t xml:space="preserve"> </w:t>
      </w:r>
      <w:r w:rsidRPr="005D05BB">
        <w:rPr>
          <w:rFonts w:ascii="AdvPTimes" w:hAnsi="AdvPTimes" w:cs="AdvPTimes"/>
          <w:sz w:val="24"/>
          <w:szCs w:val="24"/>
        </w:rPr>
        <w:t xml:space="preserve">There was high significant statistical association could be detected between t(9;22)  and TLC </w:t>
      </w:r>
      <w:r w:rsidRPr="005D05BB">
        <w:rPr>
          <w:rFonts w:ascii="Times New Roman" w:hAnsi="Times New Roman" w:cs="Times New Roman"/>
          <w:sz w:val="24"/>
          <w:szCs w:val="24"/>
        </w:rPr>
        <w:t>≥50X10</w:t>
      </w:r>
      <w:r w:rsidRPr="005D05BB">
        <w:rPr>
          <w:rFonts w:ascii="Times New Roman" w:hAnsi="Times New Roman" w:cs="Times New Roman"/>
          <w:sz w:val="24"/>
          <w:szCs w:val="24"/>
          <w:vertAlign w:val="superscript"/>
        </w:rPr>
        <w:t>9</w:t>
      </w:r>
      <w:r w:rsidRPr="005D05BB">
        <w:rPr>
          <w:rFonts w:ascii="Times New Roman" w:hAnsi="Times New Roman" w:cs="Times New Roman"/>
          <w:sz w:val="24"/>
          <w:szCs w:val="24"/>
        </w:rPr>
        <w:t xml:space="preserve">/L with (p=0.001) </w:t>
      </w:r>
      <w:r w:rsidR="00AB4D1F" w:rsidRPr="005D05BB">
        <w:rPr>
          <w:rFonts w:ascii="AdvPTimes" w:hAnsi="AdvPTimes" w:cs="AdvPTimes"/>
          <w:sz w:val="24"/>
          <w:szCs w:val="24"/>
        </w:rPr>
        <w:t>a</w:t>
      </w:r>
      <w:r w:rsidRPr="005D05BB">
        <w:rPr>
          <w:rFonts w:ascii="AdvPTimes" w:hAnsi="AdvPTimes" w:cs="AdvPTimes"/>
          <w:sz w:val="24"/>
          <w:szCs w:val="24"/>
        </w:rPr>
        <w:t xml:space="preserve">nd with absolute P.Bl blasts </w:t>
      </w:r>
      <w:r w:rsidRPr="005D05BB">
        <w:rPr>
          <w:rFonts w:ascii="Times New Roman" w:hAnsi="Times New Roman" w:cs="Times New Roman"/>
          <w:sz w:val="24"/>
          <w:szCs w:val="24"/>
        </w:rPr>
        <w:t>≥4.4X10</w:t>
      </w:r>
      <w:r w:rsidRPr="005D05BB">
        <w:rPr>
          <w:rFonts w:ascii="Times New Roman" w:hAnsi="Times New Roman" w:cs="Times New Roman"/>
          <w:sz w:val="24"/>
          <w:szCs w:val="24"/>
          <w:vertAlign w:val="superscript"/>
        </w:rPr>
        <w:t>9</w:t>
      </w:r>
      <w:r w:rsidRPr="005D05BB">
        <w:rPr>
          <w:rFonts w:ascii="Times New Roman" w:hAnsi="Times New Roman" w:cs="Times New Roman"/>
          <w:sz w:val="24"/>
          <w:szCs w:val="24"/>
        </w:rPr>
        <w:t xml:space="preserve">/L with (p=0.001) </w:t>
      </w:r>
      <w:r w:rsidRPr="005D05BB">
        <w:rPr>
          <w:rFonts w:asciiTheme="majorBidi" w:eastAsia="Times New Roman" w:hAnsiTheme="majorBidi" w:cstheme="majorBidi"/>
          <w:sz w:val="24"/>
          <w:szCs w:val="24"/>
        </w:rPr>
        <w:t>This finding is concordant with the previously published reports</w:t>
      </w:r>
      <w:r w:rsidR="00AB4D1F" w:rsidRPr="005D05BB">
        <w:rPr>
          <w:rFonts w:asciiTheme="majorBidi" w:eastAsia="Times New Roman" w:hAnsiTheme="majorBidi" w:cstheme="majorBidi"/>
          <w:sz w:val="24"/>
          <w:szCs w:val="24"/>
        </w:rPr>
        <w:t xml:space="preserve"> by</w:t>
      </w:r>
      <w:r w:rsidRPr="005D05BB">
        <w:rPr>
          <w:rFonts w:asciiTheme="majorBidi" w:eastAsia="Times New Roman" w:hAnsiTheme="majorBidi" w:cstheme="majorBidi"/>
          <w:sz w:val="24"/>
          <w:szCs w:val="24"/>
        </w:rPr>
        <w:t xml:space="preserve"> </w:t>
      </w:r>
      <w:r w:rsidRPr="005D05BB">
        <w:rPr>
          <w:rFonts w:asciiTheme="majorBidi" w:hAnsiTheme="majorBidi" w:cstheme="majorBidi"/>
          <w:b/>
          <w:bCs/>
          <w:i/>
          <w:iCs/>
          <w:sz w:val="24"/>
          <w:szCs w:val="24"/>
        </w:rPr>
        <w:t>(Cetin et al.,2012).</w:t>
      </w:r>
    </w:p>
    <w:p w:rsidR="00A9439A" w:rsidRPr="005D05BB" w:rsidRDefault="00A9439A" w:rsidP="005D05BB">
      <w:pPr>
        <w:spacing w:after="0" w:line="240" w:lineRule="auto"/>
        <w:jc w:val="both"/>
        <w:rPr>
          <w:rFonts w:asciiTheme="majorBidi" w:hAnsiTheme="majorBidi" w:cstheme="majorBidi"/>
          <w:b/>
          <w:bCs/>
          <w:sz w:val="24"/>
          <w:szCs w:val="24"/>
        </w:rPr>
      </w:pPr>
      <w:r w:rsidRPr="005D05BB">
        <w:rPr>
          <w:rFonts w:ascii="AdvPTimes" w:hAnsi="AdvPTimes" w:cs="AdvPTimes"/>
          <w:sz w:val="24"/>
          <w:szCs w:val="24"/>
        </w:rPr>
        <w:t xml:space="preserve">        No significant statistical association could be detected between t(9;22) and  CNS infilteration, </w:t>
      </w:r>
      <w:r w:rsidRPr="005D05BB">
        <w:rPr>
          <w:rFonts w:ascii="Times New Roman" w:hAnsi="Times New Roman" w:cs="Times New Roman"/>
          <w:sz w:val="24"/>
          <w:szCs w:val="24"/>
        </w:rPr>
        <w:t>Hb level&lt;10g/dl, platelets &lt;100x10</w:t>
      </w:r>
      <w:r w:rsidRPr="005D05BB">
        <w:rPr>
          <w:rFonts w:ascii="Times New Roman" w:hAnsi="Times New Roman" w:cs="Times New Roman"/>
          <w:sz w:val="24"/>
          <w:szCs w:val="24"/>
          <w:vertAlign w:val="superscript"/>
        </w:rPr>
        <w:t>9</w:t>
      </w:r>
      <w:r w:rsidRPr="005D05BB">
        <w:rPr>
          <w:rFonts w:ascii="Times New Roman" w:hAnsi="Times New Roman" w:cs="Times New Roman"/>
          <w:sz w:val="24"/>
          <w:szCs w:val="24"/>
        </w:rPr>
        <w:t xml:space="preserve">/L and CD10 </w:t>
      </w:r>
      <w:r w:rsidRPr="005D05BB">
        <w:rPr>
          <w:rFonts w:ascii="AdvPTimes" w:hAnsi="AdvPTimes" w:cs="AdvPTimes"/>
          <w:sz w:val="24"/>
          <w:szCs w:val="24"/>
        </w:rPr>
        <w:t xml:space="preserve">. </w:t>
      </w:r>
      <w:r w:rsidRPr="005D05BB">
        <w:rPr>
          <w:rFonts w:asciiTheme="majorBidi" w:eastAsia="Times New Roman" w:hAnsiTheme="majorBidi" w:cstheme="majorBidi"/>
          <w:sz w:val="24"/>
          <w:szCs w:val="24"/>
        </w:rPr>
        <w:t>This finding is concordant with the previously published reports</w:t>
      </w:r>
      <w:r w:rsidR="00AB4D1F" w:rsidRPr="005D05BB">
        <w:rPr>
          <w:rFonts w:asciiTheme="majorBidi" w:eastAsia="Times New Roman" w:hAnsiTheme="majorBidi" w:cstheme="majorBidi"/>
          <w:sz w:val="24"/>
          <w:szCs w:val="24"/>
        </w:rPr>
        <w:t xml:space="preserve"> by</w:t>
      </w:r>
      <w:r w:rsidRPr="005D05BB">
        <w:rPr>
          <w:rFonts w:asciiTheme="majorBidi" w:eastAsia="Times New Roman" w:hAnsiTheme="majorBidi" w:cstheme="majorBidi"/>
          <w:sz w:val="24"/>
          <w:szCs w:val="24"/>
        </w:rPr>
        <w:t xml:space="preserve"> </w:t>
      </w:r>
      <w:r w:rsidRPr="005D05BB">
        <w:rPr>
          <w:rFonts w:asciiTheme="majorBidi" w:hAnsiTheme="majorBidi" w:cstheme="majorBidi"/>
          <w:b/>
          <w:bCs/>
          <w:i/>
          <w:iCs/>
          <w:sz w:val="24"/>
          <w:szCs w:val="24"/>
        </w:rPr>
        <w:t>(Cetin et al.,2012).</w:t>
      </w:r>
    </w:p>
    <w:p w:rsidR="00A9439A" w:rsidRPr="005D05BB" w:rsidRDefault="007A2B51" w:rsidP="005D05BB">
      <w:pPr>
        <w:autoSpaceDE w:val="0"/>
        <w:autoSpaceDN w:val="0"/>
        <w:adjustRightInd w:val="0"/>
        <w:spacing w:after="0" w:line="240" w:lineRule="auto"/>
        <w:jc w:val="both"/>
        <w:rPr>
          <w:rFonts w:asciiTheme="majorBidi" w:hAnsiTheme="majorBidi" w:cstheme="majorBidi"/>
          <w:sz w:val="24"/>
          <w:szCs w:val="24"/>
          <w:lang w:bidi="ar-EG"/>
        </w:rPr>
      </w:pPr>
      <w:r w:rsidRPr="005D05BB">
        <w:rPr>
          <w:rFonts w:asciiTheme="majorBidi" w:hAnsiTheme="majorBidi" w:cstheme="majorBidi"/>
          <w:sz w:val="24"/>
          <w:szCs w:val="24"/>
          <w:lang w:bidi="ar-EG"/>
        </w:rPr>
        <w:t xml:space="preserve">        </w:t>
      </w:r>
      <w:r w:rsidR="00A9439A" w:rsidRPr="005D05BB">
        <w:rPr>
          <w:rFonts w:asciiTheme="majorBidi" w:hAnsiTheme="majorBidi" w:cstheme="majorBidi"/>
          <w:sz w:val="24"/>
          <w:szCs w:val="24"/>
          <w:lang w:bidi="ar-EG"/>
        </w:rPr>
        <w:t xml:space="preserve"> Immunophenotypic patterns of ph+ve ALL patients in</w:t>
      </w:r>
      <w:r w:rsidR="00AB4D1F" w:rsidRPr="005D05BB">
        <w:rPr>
          <w:rFonts w:asciiTheme="majorBidi" w:hAnsiTheme="majorBidi" w:cstheme="majorBidi"/>
          <w:sz w:val="24"/>
          <w:szCs w:val="24"/>
          <w:lang w:bidi="ar-EG"/>
        </w:rPr>
        <w:t xml:space="preserve"> this work including CD10 and aberrant expression of CD13 or </w:t>
      </w:r>
      <w:r w:rsidR="00A9439A" w:rsidRPr="005D05BB">
        <w:rPr>
          <w:rFonts w:asciiTheme="majorBidi" w:hAnsiTheme="majorBidi" w:cstheme="majorBidi"/>
          <w:sz w:val="24"/>
          <w:szCs w:val="24"/>
          <w:lang w:bidi="ar-EG"/>
        </w:rPr>
        <w:t xml:space="preserve">33, show no significant (P=0.314) statistical association was detected between CD10 and t(9;22). Similary in, </w:t>
      </w:r>
      <w:r w:rsidR="00A9439A" w:rsidRPr="005D05BB">
        <w:rPr>
          <w:rFonts w:asciiTheme="majorBidi" w:hAnsiTheme="majorBidi" w:cstheme="majorBidi"/>
          <w:i/>
          <w:iCs/>
          <w:sz w:val="24"/>
          <w:szCs w:val="24"/>
          <w:lang w:bidi="ar-EG"/>
        </w:rPr>
        <w:t>(</w:t>
      </w:r>
      <w:r w:rsidR="00A9439A" w:rsidRPr="005D05BB">
        <w:rPr>
          <w:rFonts w:asciiTheme="majorBidi" w:hAnsiTheme="majorBidi" w:cstheme="majorBidi"/>
          <w:b/>
          <w:bCs/>
          <w:i/>
          <w:iCs/>
          <w:sz w:val="24"/>
          <w:szCs w:val="24"/>
        </w:rPr>
        <w:t>Sanam et al.,2015</w:t>
      </w:r>
      <w:r w:rsidR="00A9439A" w:rsidRPr="005D05BB">
        <w:rPr>
          <w:rFonts w:asciiTheme="majorBidi" w:hAnsiTheme="majorBidi" w:cstheme="majorBidi"/>
          <w:b/>
          <w:bCs/>
          <w:sz w:val="24"/>
          <w:szCs w:val="24"/>
        </w:rPr>
        <w:t>)</w:t>
      </w:r>
      <w:r w:rsidR="00A9439A" w:rsidRPr="005D05BB">
        <w:rPr>
          <w:sz w:val="24"/>
          <w:szCs w:val="24"/>
        </w:rPr>
        <w:t xml:space="preserve"> </w:t>
      </w:r>
      <w:r w:rsidR="00A9439A" w:rsidRPr="005D05BB">
        <w:rPr>
          <w:rFonts w:asciiTheme="majorBidi" w:hAnsiTheme="majorBidi" w:cstheme="majorBidi"/>
          <w:sz w:val="24"/>
          <w:szCs w:val="24"/>
          <w:lang w:bidi="ar-EG"/>
        </w:rPr>
        <w:t xml:space="preserve">reported that CD10 expression had no statistical relationship with t(9;22). On the other hand, </w:t>
      </w:r>
      <w:r w:rsidR="00A9439A" w:rsidRPr="005D05BB">
        <w:rPr>
          <w:rFonts w:ascii="AdvPTimes" w:hAnsi="AdvPTimes" w:cs="AdvPTimes"/>
          <w:sz w:val="24"/>
          <w:szCs w:val="24"/>
        </w:rPr>
        <w:t>There was high</w:t>
      </w:r>
      <w:r w:rsidR="00A9439A" w:rsidRPr="005D05BB">
        <w:rPr>
          <w:rFonts w:asciiTheme="majorBidi" w:hAnsiTheme="majorBidi" w:cstheme="majorBidi"/>
          <w:sz w:val="24"/>
          <w:szCs w:val="24"/>
          <w:lang w:bidi="ar-EG"/>
        </w:rPr>
        <w:t xml:space="preserve">   negative significant association (p=0.000) was de</w:t>
      </w:r>
      <w:r w:rsidR="00AB4D1F" w:rsidRPr="005D05BB">
        <w:rPr>
          <w:rFonts w:asciiTheme="majorBidi" w:hAnsiTheme="majorBidi" w:cstheme="majorBidi"/>
          <w:sz w:val="24"/>
          <w:szCs w:val="24"/>
          <w:lang w:bidi="ar-EG"/>
        </w:rPr>
        <w:t xml:space="preserve">tected between t(9;22) and CD13 or </w:t>
      </w:r>
      <w:r w:rsidR="00A9439A" w:rsidRPr="005D05BB">
        <w:rPr>
          <w:rFonts w:asciiTheme="majorBidi" w:hAnsiTheme="majorBidi" w:cstheme="majorBidi"/>
          <w:sz w:val="24"/>
          <w:szCs w:val="24"/>
          <w:lang w:bidi="ar-EG"/>
        </w:rPr>
        <w:t>33 positive expression.</w:t>
      </w:r>
    </w:p>
    <w:p w:rsidR="005D05BB" w:rsidRDefault="003550C7" w:rsidP="005D05BB">
      <w:pPr>
        <w:spacing w:after="0" w:line="240" w:lineRule="auto"/>
        <w:ind w:firstLine="284"/>
        <w:jc w:val="both"/>
        <w:rPr>
          <w:rFonts w:asciiTheme="majorBidi" w:hAnsiTheme="majorBidi" w:cstheme="majorBidi"/>
          <w:sz w:val="24"/>
          <w:szCs w:val="24"/>
          <w:lang w:bidi="ar-EG"/>
        </w:rPr>
      </w:pPr>
      <w:r w:rsidRPr="005D05BB">
        <w:rPr>
          <w:rFonts w:asciiTheme="majorBidi" w:hAnsiTheme="majorBidi" w:cstheme="majorBidi"/>
          <w:sz w:val="24"/>
          <w:szCs w:val="24"/>
          <w:lang w:bidi="ar-EG"/>
        </w:rPr>
        <w:t>There was high significant, negative correlation between o</w:t>
      </w:r>
      <w:r w:rsidR="00AB4D1F" w:rsidRPr="005D05BB">
        <w:rPr>
          <w:rFonts w:asciiTheme="majorBidi" w:hAnsiTheme="majorBidi" w:cstheme="majorBidi"/>
          <w:sz w:val="24"/>
          <w:szCs w:val="24"/>
          <w:lang w:bidi="ar-EG"/>
        </w:rPr>
        <w:t>utcome and positive ph</w:t>
      </w:r>
      <w:r w:rsidRPr="005D05BB">
        <w:rPr>
          <w:rFonts w:asciiTheme="majorBidi" w:hAnsiTheme="majorBidi" w:cstheme="majorBidi"/>
          <w:sz w:val="24"/>
          <w:szCs w:val="24"/>
          <w:lang w:bidi="ar-EG"/>
        </w:rPr>
        <w:t xml:space="preserve"> chromosome t(9;22). among 11 cases with  ph +ve only two cases had CR but nine cases had IR. these results are in agreement with those reported by</w:t>
      </w:r>
    </w:p>
    <w:p w:rsidR="003550C7" w:rsidRPr="005D05BB" w:rsidRDefault="003550C7" w:rsidP="005D05BB">
      <w:pPr>
        <w:spacing w:after="0" w:line="240" w:lineRule="auto"/>
        <w:jc w:val="both"/>
        <w:rPr>
          <w:rFonts w:asciiTheme="majorBidi" w:eastAsia="Times New Roman" w:hAnsiTheme="majorBidi" w:cstheme="majorBidi"/>
          <w:b/>
          <w:bCs/>
          <w:sz w:val="24"/>
          <w:szCs w:val="24"/>
        </w:rPr>
      </w:pPr>
      <w:r w:rsidRPr="005D05BB">
        <w:rPr>
          <w:rFonts w:asciiTheme="majorBidi" w:hAnsiTheme="majorBidi" w:cstheme="majorBidi"/>
          <w:sz w:val="24"/>
          <w:szCs w:val="24"/>
          <w:lang w:bidi="ar-EG"/>
        </w:rPr>
        <w:t xml:space="preserve"> </w:t>
      </w:r>
      <w:r w:rsidRPr="005D05BB">
        <w:rPr>
          <w:rFonts w:asciiTheme="majorBidi" w:hAnsiTheme="majorBidi" w:cstheme="majorBidi"/>
          <w:b/>
          <w:bCs/>
          <w:i/>
          <w:iCs/>
          <w:sz w:val="24"/>
          <w:szCs w:val="24"/>
          <w:lang w:bidi="ar-EG"/>
        </w:rPr>
        <w:t>(</w:t>
      </w:r>
      <w:r w:rsidRPr="005D05BB">
        <w:rPr>
          <w:b/>
          <w:bCs/>
          <w:i/>
          <w:iCs/>
          <w:sz w:val="24"/>
          <w:szCs w:val="24"/>
        </w:rPr>
        <w:t xml:space="preserve"> </w:t>
      </w:r>
      <w:r w:rsidRPr="005D05BB">
        <w:rPr>
          <w:rFonts w:asciiTheme="majorBidi" w:hAnsiTheme="majorBidi" w:cstheme="majorBidi"/>
          <w:b/>
          <w:bCs/>
          <w:i/>
          <w:iCs/>
          <w:sz w:val="24"/>
          <w:szCs w:val="24"/>
          <w:lang w:bidi="ar-EG"/>
        </w:rPr>
        <w:t>Aldoss et al.,2015)</w:t>
      </w:r>
    </w:p>
    <w:p w:rsidR="00135755" w:rsidRPr="00135755" w:rsidRDefault="00135755" w:rsidP="005D05BB">
      <w:pPr>
        <w:autoSpaceDE w:val="0"/>
        <w:autoSpaceDN w:val="0"/>
        <w:adjustRightInd w:val="0"/>
        <w:spacing w:after="0" w:line="240" w:lineRule="auto"/>
        <w:jc w:val="both"/>
        <w:rPr>
          <w:rFonts w:asciiTheme="majorBidi" w:hAnsiTheme="majorBidi" w:cstheme="majorBidi"/>
          <w:b/>
          <w:bCs/>
          <w:sz w:val="12"/>
          <w:szCs w:val="12"/>
          <w:lang w:bidi="ar-EG"/>
        </w:rPr>
      </w:pPr>
    </w:p>
    <w:p w:rsidR="00E56E2B" w:rsidRPr="005D05BB" w:rsidRDefault="00E56E2B" w:rsidP="005D05BB">
      <w:pPr>
        <w:autoSpaceDE w:val="0"/>
        <w:autoSpaceDN w:val="0"/>
        <w:adjustRightInd w:val="0"/>
        <w:spacing w:after="0" w:line="240" w:lineRule="auto"/>
        <w:jc w:val="both"/>
        <w:rPr>
          <w:rFonts w:asciiTheme="majorBidi" w:hAnsiTheme="majorBidi" w:cstheme="majorBidi"/>
          <w:b/>
          <w:bCs/>
          <w:sz w:val="28"/>
          <w:szCs w:val="28"/>
          <w:lang w:bidi="ar-EG"/>
        </w:rPr>
      </w:pPr>
      <w:r w:rsidRPr="005D05BB">
        <w:rPr>
          <w:rFonts w:asciiTheme="majorBidi" w:hAnsiTheme="majorBidi" w:cstheme="majorBidi"/>
          <w:b/>
          <w:bCs/>
          <w:sz w:val="28"/>
          <w:szCs w:val="28"/>
          <w:lang w:bidi="ar-EG"/>
        </w:rPr>
        <w:t>Conclusion</w:t>
      </w:r>
    </w:p>
    <w:p w:rsidR="006E708E" w:rsidRPr="005D05BB" w:rsidRDefault="00BD6745" w:rsidP="005D05BB">
      <w:pPr>
        <w:spacing w:after="0" w:line="240" w:lineRule="auto"/>
        <w:jc w:val="both"/>
        <w:rPr>
          <w:rFonts w:asciiTheme="majorBidi" w:hAnsiTheme="majorBidi" w:cstheme="majorBidi"/>
          <w:b/>
          <w:bCs/>
          <w:sz w:val="24"/>
          <w:szCs w:val="24"/>
        </w:rPr>
      </w:pPr>
      <w:r w:rsidRPr="005D05BB">
        <w:rPr>
          <w:rFonts w:asciiTheme="majorBidi" w:eastAsia="Times New Roman" w:hAnsiTheme="majorBidi" w:cstheme="majorBidi"/>
          <w:sz w:val="24"/>
          <w:szCs w:val="24"/>
        </w:rPr>
        <w:t xml:space="preserve">        </w:t>
      </w:r>
      <w:r w:rsidR="00AB4D1F" w:rsidRPr="005D05BB">
        <w:rPr>
          <w:rFonts w:asciiTheme="majorBidi" w:hAnsiTheme="majorBidi" w:cstheme="majorBidi"/>
          <w:sz w:val="24"/>
          <w:szCs w:val="24"/>
          <w:lang w:bidi="ar-EG"/>
        </w:rPr>
        <w:t>ph chromosome</w:t>
      </w:r>
      <w:r w:rsidR="00AB4D1F" w:rsidRPr="005D05BB">
        <w:rPr>
          <w:rFonts w:asciiTheme="majorBidi" w:eastAsia="Times New Roman" w:hAnsiTheme="majorBidi" w:cstheme="majorBidi"/>
          <w:sz w:val="24"/>
          <w:szCs w:val="24"/>
        </w:rPr>
        <w:t xml:space="preserve"> </w:t>
      </w:r>
      <w:r w:rsidR="006E708E" w:rsidRPr="005D05BB">
        <w:rPr>
          <w:rFonts w:asciiTheme="majorBidi" w:eastAsia="Times New Roman" w:hAnsiTheme="majorBidi" w:cstheme="majorBidi"/>
          <w:sz w:val="24"/>
          <w:szCs w:val="24"/>
        </w:rPr>
        <w:t>expression may serve as a powerful prog</w:t>
      </w:r>
      <w:r w:rsidRPr="005D05BB">
        <w:rPr>
          <w:rFonts w:asciiTheme="majorBidi" w:eastAsia="Times New Roman" w:hAnsiTheme="majorBidi" w:cstheme="majorBidi"/>
          <w:sz w:val="24"/>
          <w:szCs w:val="24"/>
        </w:rPr>
        <w:t xml:space="preserve">nostic marker in adulthood ALL, As ph +ve adult acute lymphoblastic leukemia has poor prognosis. </w:t>
      </w:r>
      <w:r w:rsidR="00AB4D1F" w:rsidRPr="005D05BB">
        <w:rPr>
          <w:rFonts w:asciiTheme="majorBidi" w:hAnsiTheme="majorBidi" w:cstheme="majorBidi"/>
          <w:sz w:val="24"/>
          <w:szCs w:val="24"/>
        </w:rPr>
        <w:t>and can</w:t>
      </w:r>
      <w:r w:rsidR="006E708E" w:rsidRPr="005D05BB">
        <w:rPr>
          <w:rFonts w:asciiTheme="majorBidi" w:hAnsiTheme="majorBidi" w:cstheme="majorBidi"/>
          <w:sz w:val="24"/>
          <w:szCs w:val="24"/>
        </w:rPr>
        <w:t xml:space="preserve"> be used as prognostic indicators for therapeutic response.</w:t>
      </w:r>
    </w:p>
    <w:p w:rsidR="005D05BB" w:rsidRPr="005D05BB" w:rsidRDefault="005D05BB" w:rsidP="005D05BB">
      <w:pPr>
        <w:autoSpaceDE w:val="0"/>
        <w:autoSpaceDN w:val="0"/>
        <w:adjustRightInd w:val="0"/>
        <w:spacing w:after="0" w:line="240" w:lineRule="auto"/>
        <w:ind w:left="284" w:hanging="284"/>
        <w:jc w:val="both"/>
        <w:rPr>
          <w:rFonts w:asciiTheme="majorBidi" w:hAnsiTheme="majorBidi" w:cstheme="majorBidi"/>
          <w:b/>
          <w:bCs/>
          <w:sz w:val="24"/>
          <w:szCs w:val="24"/>
        </w:rPr>
      </w:pPr>
    </w:p>
    <w:p w:rsidR="005D05BB" w:rsidRDefault="005D05BB" w:rsidP="005D05BB">
      <w:pPr>
        <w:autoSpaceDE w:val="0"/>
        <w:autoSpaceDN w:val="0"/>
        <w:adjustRightInd w:val="0"/>
        <w:spacing w:after="0" w:line="240" w:lineRule="auto"/>
        <w:ind w:left="284" w:hanging="284"/>
        <w:jc w:val="both"/>
        <w:rPr>
          <w:rFonts w:asciiTheme="majorBidi" w:hAnsiTheme="majorBidi" w:cstheme="majorBidi"/>
          <w:b/>
          <w:bCs/>
          <w:sz w:val="28"/>
          <w:szCs w:val="28"/>
        </w:rPr>
      </w:pPr>
    </w:p>
    <w:p w:rsidR="00E56E2B" w:rsidRPr="005D05BB" w:rsidRDefault="00E56E2B" w:rsidP="005D05BB">
      <w:pPr>
        <w:autoSpaceDE w:val="0"/>
        <w:autoSpaceDN w:val="0"/>
        <w:adjustRightInd w:val="0"/>
        <w:spacing w:after="0" w:line="240" w:lineRule="auto"/>
        <w:ind w:left="284" w:hanging="284"/>
        <w:jc w:val="both"/>
        <w:rPr>
          <w:rFonts w:asciiTheme="majorBidi" w:hAnsiTheme="majorBidi" w:cstheme="majorBidi"/>
          <w:b/>
          <w:bCs/>
          <w:sz w:val="28"/>
          <w:szCs w:val="28"/>
        </w:rPr>
      </w:pPr>
      <w:r w:rsidRPr="005D05BB">
        <w:rPr>
          <w:rFonts w:asciiTheme="majorBidi" w:hAnsiTheme="majorBidi" w:cstheme="majorBidi"/>
          <w:b/>
          <w:bCs/>
          <w:sz w:val="28"/>
          <w:szCs w:val="28"/>
        </w:rPr>
        <w:lastRenderedPageBreak/>
        <w:t>References</w:t>
      </w:r>
    </w:p>
    <w:p w:rsidR="006D0D0D" w:rsidRPr="005D05BB" w:rsidRDefault="006D0D0D" w:rsidP="005D05BB">
      <w:pPr>
        <w:tabs>
          <w:tab w:val="right" w:pos="0"/>
        </w:tabs>
        <w:spacing w:after="0" w:line="240" w:lineRule="auto"/>
        <w:ind w:left="284" w:hanging="284"/>
        <w:jc w:val="both"/>
        <w:outlineLvl w:val="3"/>
        <w:rPr>
          <w:rFonts w:asciiTheme="majorBidi" w:hAnsiTheme="majorBidi" w:cstheme="majorBidi"/>
          <w:sz w:val="24"/>
          <w:szCs w:val="24"/>
        </w:rPr>
      </w:pPr>
      <w:r w:rsidRPr="005D05BB">
        <w:rPr>
          <w:rFonts w:asciiTheme="majorBidi" w:hAnsiTheme="majorBidi" w:cstheme="majorBidi"/>
          <w:b/>
          <w:bCs/>
          <w:sz w:val="24"/>
          <w:szCs w:val="24"/>
        </w:rPr>
        <w:t>1-</w:t>
      </w:r>
      <w:r w:rsidRPr="005D05BB">
        <w:rPr>
          <w:rFonts w:asciiTheme="majorBidi" w:hAnsiTheme="majorBidi" w:cstheme="majorBidi"/>
          <w:b/>
          <w:bCs/>
          <w:color w:val="000000"/>
          <w:sz w:val="24"/>
          <w:szCs w:val="24"/>
        </w:rPr>
        <w:t xml:space="preserve"> </w:t>
      </w:r>
      <w:r w:rsidRPr="005D05BB">
        <w:rPr>
          <w:rFonts w:asciiTheme="majorBidi" w:hAnsiTheme="majorBidi" w:cstheme="majorBidi"/>
          <w:color w:val="000000"/>
          <w:sz w:val="24"/>
          <w:szCs w:val="24"/>
        </w:rPr>
        <w:t>Jiang H (2010):</w:t>
      </w:r>
      <w:r w:rsidRPr="005D05BB">
        <w:rPr>
          <w:rFonts w:asciiTheme="majorBidi" w:hAnsiTheme="majorBidi" w:cstheme="majorBidi"/>
          <w:sz w:val="24"/>
          <w:szCs w:val="24"/>
        </w:rPr>
        <w:t xml:space="preserve"> </w:t>
      </w:r>
      <w:r w:rsidRPr="005D05BB">
        <w:rPr>
          <w:rFonts w:asciiTheme="majorBidi" w:hAnsiTheme="majorBidi" w:cstheme="majorBidi"/>
          <w:color w:val="000000"/>
          <w:sz w:val="24"/>
          <w:szCs w:val="24"/>
        </w:rPr>
        <w:t>The different signal patterns of two FISH probes in the FISH detection of Ph-positive leukemia and their clinical significance 2010 Apr;27(2):166-70. doi: 10.3760/cma.j.issn.1003-9406.2010.02.011.</w:t>
      </w:r>
    </w:p>
    <w:p w:rsidR="005647A9" w:rsidRPr="005D05BB" w:rsidRDefault="007A64B2" w:rsidP="005D05BB">
      <w:pPr>
        <w:autoSpaceDE w:val="0"/>
        <w:autoSpaceDN w:val="0"/>
        <w:adjustRightInd w:val="0"/>
        <w:spacing w:after="0" w:line="240" w:lineRule="auto"/>
        <w:ind w:left="284" w:hanging="284"/>
        <w:jc w:val="both"/>
        <w:rPr>
          <w:rFonts w:asciiTheme="majorBidi" w:hAnsiTheme="majorBidi" w:cstheme="majorBidi"/>
          <w:color w:val="000000"/>
          <w:sz w:val="24"/>
          <w:szCs w:val="24"/>
        </w:rPr>
      </w:pPr>
      <w:r w:rsidRPr="005D05BB">
        <w:rPr>
          <w:rFonts w:asciiTheme="majorBidi" w:hAnsiTheme="majorBidi" w:cstheme="majorBidi"/>
          <w:b/>
          <w:bCs/>
          <w:sz w:val="24"/>
          <w:szCs w:val="24"/>
        </w:rPr>
        <w:t>2</w:t>
      </w:r>
      <w:r w:rsidR="005647A9" w:rsidRPr="005D05BB">
        <w:rPr>
          <w:rFonts w:asciiTheme="majorBidi" w:hAnsiTheme="majorBidi" w:cstheme="majorBidi"/>
          <w:b/>
          <w:bCs/>
          <w:sz w:val="24"/>
          <w:szCs w:val="24"/>
        </w:rPr>
        <w:t xml:space="preserve">- </w:t>
      </w:r>
      <w:r w:rsidR="005647A9" w:rsidRPr="005D05BB">
        <w:rPr>
          <w:rFonts w:asciiTheme="majorBidi" w:hAnsiTheme="majorBidi" w:cstheme="majorBidi"/>
          <w:sz w:val="24"/>
          <w:szCs w:val="24"/>
        </w:rPr>
        <w:t>Ghazavi F</w:t>
      </w:r>
      <w:r w:rsidR="005647A9" w:rsidRPr="005D05BB">
        <w:rPr>
          <w:rFonts w:asciiTheme="majorBidi" w:hAnsiTheme="majorBidi" w:cstheme="majorBidi"/>
          <w:color w:val="000000"/>
          <w:sz w:val="24"/>
          <w:szCs w:val="24"/>
        </w:rPr>
        <w:t xml:space="preserve">, Tim L, Nadine VR, Bruce P, Frank S, Yves B, Pieter VV and Barbara DM. (2015): </w:t>
      </w:r>
      <w:r w:rsidR="005647A9" w:rsidRPr="005D05BB">
        <w:rPr>
          <w:rFonts w:asciiTheme="majorBidi" w:hAnsiTheme="majorBidi" w:cstheme="majorBidi"/>
          <w:sz w:val="24"/>
          <w:szCs w:val="24"/>
        </w:rPr>
        <w:t xml:space="preserve">  “Molecular basis and clinical significance of genetic aberrations in B-Cell precursor acute lymphoblastic leukemia.” </w:t>
      </w:r>
      <w:r w:rsidR="005647A9" w:rsidRPr="005D05BB">
        <w:rPr>
          <w:rFonts w:asciiTheme="majorBidi" w:hAnsiTheme="majorBidi" w:cstheme="majorBidi"/>
          <w:i/>
          <w:iCs/>
          <w:sz w:val="24"/>
          <w:szCs w:val="24"/>
        </w:rPr>
        <w:t>Experimental Hematology</w:t>
      </w:r>
      <w:r w:rsidR="00C84863" w:rsidRPr="005D05BB">
        <w:rPr>
          <w:rFonts w:asciiTheme="majorBidi" w:hAnsiTheme="majorBidi" w:cstheme="majorBidi"/>
          <w:sz w:val="24"/>
          <w:szCs w:val="24"/>
        </w:rPr>
        <w:t xml:space="preserve">, vol. 43, no. 8, pp.640–653., </w:t>
      </w:r>
      <w:r w:rsidR="005647A9" w:rsidRPr="005D05BB">
        <w:rPr>
          <w:rFonts w:asciiTheme="majorBidi" w:hAnsiTheme="majorBidi" w:cstheme="majorBidi"/>
          <w:sz w:val="24"/>
          <w:szCs w:val="24"/>
        </w:rPr>
        <w:t>doi:10.1016/j.exphem.</w:t>
      </w:r>
    </w:p>
    <w:p w:rsidR="005647A9" w:rsidRPr="005D05BB" w:rsidRDefault="00A433C6" w:rsidP="005D05BB">
      <w:pPr>
        <w:spacing w:after="0" w:line="240" w:lineRule="auto"/>
        <w:ind w:left="284" w:hanging="284"/>
        <w:jc w:val="both"/>
        <w:rPr>
          <w:rFonts w:asciiTheme="majorBidi" w:eastAsia="Times New Roman" w:hAnsiTheme="majorBidi" w:cstheme="majorBidi"/>
          <w:sz w:val="24"/>
          <w:szCs w:val="24"/>
        </w:rPr>
      </w:pPr>
      <w:r w:rsidRPr="005D05BB">
        <w:rPr>
          <w:rFonts w:asciiTheme="majorBidi" w:hAnsiTheme="majorBidi" w:cstheme="majorBidi"/>
          <w:b/>
          <w:bCs/>
          <w:sz w:val="24"/>
          <w:szCs w:val="24"/>
        </w:rPr>
        <w:t>3</w:t>
      </w:r>
      <w:r w:rsidR="005647A9" w:rsidRPr="005D05BB">
        <w:rPr>
          <w:rFonts w:asciiTheme="majorBidi" w:hAnsiTheme="majorBidi" w:cstheme="majorBidi"/>
          <w:b/>
          <w:bCs/>
          <w:sz w:val="24"/>
          <w:szCs w:val="24"/>
        </w:rPr>
        <w:t>-</w:t>
      </w:r>
      <w:r w:rsidR="005647A9" w:rsidRPr="005D05BB">
        <w:rPr>
          <w:rFonts w:asciiTheme="majorBidi" w:eastAsia="Times New Roman" w:hAnsiTheme="majorBidi" w:cstheme="majorBidi"/>
          <w:b/>
          <w:bCs/>
          <w:sz w:val="24"/>
          <w:szCs w:val="24"/>
        </w:rPr>
        <w:t xml:space="preserve"> </w:t>
      </w:r>
      <w:r w:rsidR="005647A9" w:rsidRPr="005D05BB">
        <w:rPr>
          <w:rFonts w:asciiTheme="majorBidi" w:eastAsia="Times New Roman" w:hAnsiTheme="majorBidi" w:cstheme="majorBidi"/>
          <w:sz w:val="24"/>
          <w:szCs w:val="24"/>
        </w:rPr>
        <w:t>Bachanova, Veronika (2017): "Philadelphia-positive Acute Lymphoblastic Leukemia: Do We Still Need Allogeneic Transplantation? Argument “Pro”." Clinical Lymphoma Myeloma and Leukemia 17 (2017): S10-15. Copyright © 2017 Elsevier Inc.</w:t>
      </w:r>
    </w:p>
    <w:p w:rsidR="00145485" w:rsidRPr="005D05BB" w:rsidRDefault="00A433C6" w:rsidP="005D05BB">
      <w:pPr>
        <w:autoSpaceDE w:val="0"/>
        <w:autoSpaceDN w:val="0"/>
        <w:adjustRightInd w:val="0"/>
        <w:spacing w:after="0" w:line="240" w:lineRule="auto"/>
        <w:ind w:left="284" w:hanging="284"/>
        <w:jc w:val="both"/>
        <w:rPr>
          <w:rFonts w:asciiTheme="majorBidi" w:hAnsiTheme="majorBidi" w:cstheme="majorBidi"/>
          <w:sz w:val="24"/>
          <w:szCs w:val="24"/>
        </w:rPr>
      </w:pPr>
      <w:r w:rsidRPr="005D05BB">
        <w:rPr>
          <w:rFonts w:asciiTheme="majorBidi" w:hAnsiTheme="majorBidi" w:cstheme="majorBidi"/>
          <w:b/>
          <w:bCs/>
          <w:sz w:val="24"/>
          <w:szCs w:val="24"/>
        </w:rPr>
        <w:t>4</w:t>
      </w:r>
      <w:r w:rsidR="00145485" w:rsidRPr="005D05BB">
        <w:rPr>
          <w:rFonts w:asciiTheme="majorBidi" w:hAnsiTheme="majorBidi" w:cstheme="majorBidi"/>
          <w:b/>
          <w:bCs/>
          <w:sz w:val="24"/>
          <w:szCs w:val="24"/>
        </w:rPr>
        <w:t xml:space="preserve">- </w:t>
      </w:r>
      <w:r w:rsidR="00145485" w:rsidRPr="005D05BB">
        <w:rPr>
          <w:rFonts w:asciiTheme="majorBidi" w:hAnsiTheme="majorBidi" w:cstheme="majorBidi"/>
          <w:sz w:val="24"/>
          <w:szCs w:val="24"/>
        </w:rPr>
        <w:t xml:space="preserve">Gersen S, and Keagle M. (2013): </w:t>
      </w:r>
      <w:r w:rsidR="00145485" w:rsidRPr="005D05BB">
        <w:rPr>
          <w:rFonts w:asciiTheme="majorBidi" w:hAnsiTheme="majorBidi" w:cstheme="majorBidi"/>
          <w:i/>
          <w:iCs/>
          <w:sz w:val="24"/>
          <w:szCs w:val="24"/>
        </w:rPr>
        <w:t>The Principles of Clinical Cytogenetics</w:t>
      </w:r>
      <w:r w:rsidR="00145485" w:rsidRPr="005D05BB">
        <w:rPr>
          <w:rFonts w:asciiTheme="majorBidi" w:hAnsiTheme="majorBidi" w:cstheme="majorBidi"/>
          <w:sz w:val="24"/>
          <w:szCs w:val="24"/>
        </w:rPr>
        <w:t xml:space="preserve"> (Third Edition ed., p. 561). New York: Springer Science Business Media New York.</w:t>
      </w:r>
    </w:p>
    <w:p w:rsidR="006E708E" w:rsidRPr="005D05BB" w:rsidRDefault="00A433C6" w:rsidP="005D05BB">
      <w:pPr>
        <w:autoSpaceDE w:val="0"/>
        <w:autoSpaceDN w:val="0"/>
        <w:adjustRightInd w:val="0"/>
        <w:spacing w:after="0" w:line="240" w:lineRule="auto"/>
        <w:ind w:left="284" w:hanging="284"/>
        <w:jc w:val="both"/>
        <w:rPr>
          <w:rFonts w:asciiTheme="majorBidi" w:hAnsiTheme="majorBidi" w:cstheme="majorBidi"/>
          <w:sz w:val="24"/>
          <w:szCs w:val="24"/>
        </w:rPr>
      </w:pPr>
      <w:r w:rsidRPr="005D05BB">
        <w:rPr>
          <w:rFonts w:asciiTheme="majorBidi" w:hAnsiTheme="majorBidi" w:cstheme="majorBidi"/>
          <w:b/>
          <w:bCs/>
          <w:sz w:val="24"/>
          <w:szCs w:val="24"/>
        </w:rPr>
        <w:t>5</w:t>
      </w:r>
      <w:r w:rsidR="00823D17" w:rsidRPr="005D05BB">
        <w:rPr>
          <w:rFonts w:asciiTheme="majorBidi" w:hAnsiTheme="majorBidi" w:cstheme="majorBidi"/>
          <w:b/>
          <w:bCs/>
          <w:sz w:val="24"/>
          <w:szCs w:val="24"/>
        </w:rPr>
        <w:t>-</w:t>
      </w:r>
      <w:r w:rsidR="0045691D" w:rsidRPr="005D05BB">
        <w:rPr>
          <w:rFonts w:asciiTheme="majorBidi" w:hAnsiTheme="majorBidi" w:cstheme="majorBidi"/>
          <w:sz w:val="24"/>
          <w:szCs w:val="24"/>
        </w:rPr>
        <w:t xml:space="preserve">Pita M, Orellana J, Martinez-Rodriguez P, </w:t>
      </w:r>
      <w:r w:rsidR="00114498" w:rsidRPr="005D05BB">
        <w:rPr>
          <w:rFonts w:asciiTheme="majorBidi" w:hAnsiTheme="majorBidi" w:cstheme="majorBidi"/>
          <w:sz w:val="24"/>
          <w:szCs w:val="24"/>
        </w:rPr>
        <w:t>Martinez-Ramirez A, Fernandez-Calvin B and Bella J (2014): In FISH methods in cytogenetic studies. In Functional Analysis of DNA and Chromatin (Methods in Molecular Biology); (first edition), Chapter (10); 1094:109-35, Springer Sceince+ Business Media, New York, USA.</w:t>
      </w:r>
    </w:p>
    <w:p w:rsidR="005D05BB" w:rsidRDefault="000E477A" w:rsidP="005D05BB">
      <w:pPr>
        <w:autoSpaceDE w:val="0"/>
        <w:autoSpaceDN w:val="0"/>
        <w:adjustRightInd w:val="0"/>
        <w:spacing w:after="0" w:line="240" w:lineRule="auto"/>
        <w:ind w:left="284" w:hanging="284"/>
        <w:jc w:val="both"/>
        <w:rPr>
          <w:rFonts w:asciiTheme="majorBidi" w:hAnsiTheme="majorBidi" w:cstheme="majorBidi"/>
          <w:sz w:val="24"/>
          <w:szCs w:val="24"/>
        </w:rPr>
      </w:pPr>
      <w:r w:rsidRPr="005D05BB">
        <w:rPr>
          <w:rFonts w:asciiTheme="majorBidi" w:hAnsiTheme="majorBidi" w:cstheme="majorBidi"/>
          <w:b/>
          <w:bCs/>
          <w:sz w:val="24"/>
          <w:szCs w:val="24"/>
        </w:rPr>
        <w:t xml:space="preserve">6- </w:t>
      </w:r>
      <w:r w:rsidRPr="005D05BB">
        <w:rPr>
          <w:rFonts w:asciiTheme="majorBidi" w:hAnsiTheme="majorBidi" w:cstheme="majorBidi"/>
          <w:sz w:val="24"/>
          <w:szCs w:val="24"/>
        </w:rPr>
        <w:t xml:space="preserve">Noreen S, Zafar I, Aamer A, Tashfeen A, Tahir N and Sultan A.(2012): Prognostically significant fusion oncogenes in Pakistani patients with adult acute lymphoblastic leukaemia and their association with disease </w:t>
      </w:r>
    </w:p>
    <w:p w:rsidR="005D05BB" w:rsidRDefault="005D05BB" w:rsidP="005D05BB">
      <w:pPr>
        <w:autoSpaceDE w:val="0"/>
        <w:autoSpaceDN w:val="0"/>
        <w:adjustRightInd w:val="0"/>
        <w:spacing w:after="0" w:line="240" w:lineRule="auto"/>
        <w:ind w:left="284" w:hanging="284"/>
        <w:jc w:val="both"/>
        <w:rPr>
          <w:rFonts w:asciiTheme="majorBidi" w:hAnsiTheme="majorBidi" w:cstheme="majorBidi"/>
          <w:sz w:val="24"/>
          <w:szCs w:val="24"/>
        </w:rPr>
      </w:pPr>
    </w:p>
    <w:p w:rsidR="000E477A" w:rsidRPr="005D05BB" w:rsidRDefault="000E477A" w:rsidP="005D05BB">
      <w:pPr>
        <w:autoSpaceDE w:val="0"/>
        <w:autoSpaceDN w:val="0"/>
        <w:adjustRightInd w:val="0"/>
        <w:spacing w:after="0" w:line="240" w:lineRule="auto"/>
        <w:ind w:left="284" w:hanging="284"/>
        <w:jc w:val="both"/>
        <w:rPr>
          <w:rFonts w:asciiTheme="majorBidi" w:hAnsiTheme="majorBidi" w:cstheme="majorBidi"/>
          <w:sz w:val="24"/>
          <w:szCs w:val="24"/>
        </w:rPr>
      </w:pPr>
      <w:r w:rsidRPr="005D05BB">
        <w:rPr>
          <w:rFonts w:asciiTheme="majorBidi" w:hAnsiTheme="majorBidi" w:cstheme="majorBidi"/>
          <w:sz w:val="24"/>
          <w:szCs w:val="24"/>
        </w:rPr>
        <w:t>biology and outcome. Asian Pacific J Cancer Prev 2012;13.7:3349-55.</w:t>
      </w:r>
    </w:p>
    <w:p w:rsidR="000E477A" w:rsidRPr="005D05BB" w:rsidRDefault="000E477A" w:rsidP="005D05BB">
      <w:pPr>
        <w:autoSpaceDE w:val="0"/>
        <w:autoSpaceDN w:val="0"/>
        <w:adjustRightInd w:val="0"/>
        <w:spacing w:after="0" w:line="240" w:lineRule="auto"/>
        <w:ind w:left="284" w:hanging="284"/>
        <w:jc w:val="both"/>
        <w:rPr>
          <w:rFonts w:asciiTheme="majorBidi" w:hAnsiTheme="majorBidi" w:cstheme="majorBidi"/>
          <w:sz w:val="24"/>
          <w:szCs w:val="24"/>
        </w:rPr>
      </w:pPr>
      <w:r w:rsidRPr="005D05BB">
        <w:rPr>
          <w:rFonts w:asciiTheme="majorBidi" w:hAnsiTheme="majorBidi" w:cstheme="majorBidi"/>
          <w:b/>
          <w:bCs/>
          <w:sz w:val="24"/>
          <w:szCs w:val="24"/>
        </w:rPr>
        <w:t>7-</w:t>
      </w:r>
      <w:r w:rsidRPr="005D05BB">
        <w:rPr>
          <w:sz w:val="24"/>
          <w:szCs w:val="24"/>
        </w:rPr>
        <w:t xml:space="preserve"> </w:t>
      </w:r>
      <w:r w:rsidRPr="005D05BB">
        <w:rPr>
          <w:rFonts w:asciiTheme="majorBidi" w:hAnsiTheme="majorBidi" w:cstheme="majorBidi"/>
          <w:sz w:val="24"/>
          <w:szCs w:val="24"/>
        </w:rPr>
        <w:t xml:space="preserve">Schafer Eric S.; Margolin, Judith; Poplack, David G. and Rabin, Karen R. (2015): . Molecular Genetics of Acute Lymphoblastic Leukemia, Molecular Basis of Cancer, 4th ed, vol. 26, </w:t>
      </w:r>
      <w:r w:rsidR="002F10F5" w:rsidRPr="005D05BB">
        <w:rPr>
          <w:rFonts w:asciiTheme="majorBidi" w:hAnsiTheme="majorBidi" w:cstheme="majorBidi"/>
          <w:sz w:val="24"/>
          <w:szCs w:val="24"/>
        </w:rPr>
        <w:t>395-406.</w:t>
      </w:r>
    </w:p>
    <w:p w:rsidR="000E477A" w:rsidRPr="005D05BB" w:rsidRDefault="00E208A2" w:rsidP="005D05BB">
      <w:pPr>
        <w:autoSpaceDE w:val="0"/>
        <w:autoSpaceDN w:val="0"/>
        <w:adjustRightInd w:val="0"/>
        <w:spacing w:after="0" w:line="240" w:lineRule="auto"/>
        <w:ind w:left="284" w:hanging="284"/>
        <w:jc w:val="both"/>
        <w:rPr>
          <w:rFonts w:asciiTheme="majorBidi" w:hAnsiTheme="majorBidi" w:cstheme="majorBidi"/>
          <w:sz w:val="24"/>
          <w:szCs w:val="24"/>
        </w:rPr>
      </w:pPr>
      <w:r w:rsidRPr="005D05BB">
        <w:rPr>
          <w:rFonts w:asciiTheme="majorBidi" w:hAnsiTheme="majorBidi" w:cstheme="majorBidi"/>
          <w:b/>
          <w:bCs/>
          <w:sz w:val="24"/>
          <w:szCs w:val="24"/>
        </w:rPr>
        <w:t>8-</w:t>
      </w:r>
      <w:r w:rsidRPr="005D05BB">
        <w:rPr>
          <w:sz w:val="24"/>
          <w:szCs w:val="24"/>
        </w:rPr>
        <w:t xml:space="preserve"> </w:t>
      </w:r>
      <w:r w:rsidRPr="005D05BB">
        <w:rPr>
          <w:rFonts w:asciiTheme="majorBidi" w:hAnsiTheme="majorBidi" w:cstheme="majorBidi"/>
          <w:sz w:val="24"/>
          <w:szCs w:val="24"/>
        </w:rPr>
        <w:t>Al Ustwania Omar, Neha Guptab, Hatoon Bakhribaha, Elizabeth Griffithsa, Eunice Wanga and Meir Wetzler (2016): Clinical updates in adult acute lymphoblastic leukemia, Critical Reviews in Oncology/Hematology 99; 189–199.</w:t>
      </w:r>
    </w:p>
    <w:p w:rsidR="00E208A2" w:rsidRPr="005D05BB" w:rsidRDefault="00E208A2" w:rsidP="005D05BB">
      <w:pPr>
        <w:autoSpaceDE w:val="0"/>
        <w:autoSpaceDN w:val="0"/>
        <w:adjustRightInd w:val="0"/>
        <w:spacing w:after="0" w:line="240" w:lineRule="auto"/>
        <w:ind w:left="284" w:hanging="284"/>
        <w:jc w:val="both"/>
        <w:rPr>
          <w:rFonts w:asciiTheme="majorBidi" w:hAnsiTheme="majorBidi" w:cstheme="majorBidi"/>
          <w:sz w:val="24"/>
          <w:szCs w:val="24"/>
        </w:rPr>
      </w:pPr>
      <w:r w:rsidRPr="005D05BB">
        <w:rPr>
          <w:rFonts w:asciiTheme="majorBidi" w:hAnsiTheme="majorBidi" w:cstheme="majorBidi"/>
          <w:b/>
          <w:bCs/>
          <w:sz w:val="24"/>
          <w:szCs w:val="24"/>
        </w:rPr>
        <w:t>9-</w:t>
      </w:r>
      <w:r w:rsidRPr="005D05BB">
        <w:rPr>
          <w:sz w:val="24"/>
          <w:szCs w:val="24"/>
        </w:rPr>
        <w:t xml:space="preserve"> </w:t>
      </w:r>
      <w:r w:rsidRPr="005D05BB">
        <w:rPr>
          <w:rFonts w:asciiTheme="majorBidi" w:hAnsiTheme="majorBidi" w:cstheme="majorBidi"/>
          <w:sz w:val="24"/>
          <w:szCs w:val="24"/>
        </w:rPr>
        <w:t>Ilana de France, Rui Milton P, Audrey Violeta M, Washington B, Fárida C and Raul A.,(2014) : “Frequency of p190 and p210 BCR-ABL rearrangements and survival in Brazilian adult patients with acute lymphoblastic leukemia.” Fundac¸ão de Hematologia e Hemoterapia de Pernambuco (HEMOPE), vol. 36, no. 5, 18 July 2014, pp. 351–355., doi:org/10.1016/j.bjhh.2014.07.016.</w:t>
      </w:r>
    </w:p>
    <w:p w:rsidR="00927005" w:rsidRPr="005D05BB" w:rsidRDefault="00E208A2" w:rsidP="005D05BB">
      <w:pPr>
        <w:autoSpaceDE w:val="0"/>
        <w:autoSpaceDN w:val="0"/>
        <w:adjustRightInd w:val="0"/>
        <w:spacing w:after="0" w:line="240" w:lineRule="auto"/>
        <w:ind w:left="284" w:hanging="284"/>
        <w:jc w:val="both"/>
        <w:rPr>
          <w:rFonts w:asciiTheme="majorBidi" w:hAnsiTheme="majorBidi" w:cstheme="majorBidi"/>
          <w:sz w:val="24"/>
          <w:szCs w:val="24"/>
        </w:rPr>
      </w:pPr>
      <w:r w:rsidRPr="005D05BB">
        <w:rPr>
          <w:rFonts w:asciiTheme="majorBidi" w:hAnsiTheme="majorBidi" w:cstheme="majorBidi"/>
          <w:b/>
          <w:bCs/>
          <w:sz w:val="24"/>
          <w:szCs w:val="24"/>
        </w:rPr>
        <w:t>10</w:t>
      </w:r>
      <w:r w:rsidR="00A40010" w:rsidRPr="005D05BB">
        <w:rPr>
          <w:rFonts w:asciiTheme="majorBidi" w:hAnsiTheme="majorBidi" w:cstheme="majorBidi"/>
          <w:b/>
          <w:bCs/>
          <w:sz w:val="24"/>
          <w:szCs w:val="24"/>
        </w:rPr>
        <w:t>-</w:t>
      </w:r>
      <w:r w:rsidR="00927005" w:rsidRPr="005D05BB">
        <w:rPr>
          <w:rFonts w:asciiTheme="majorBidi" w:hAnsiTheme="majorBidi" w:cstheme="majorBidi"/>
          <w:b/>
          <w:bCs/>
          <w:sz w:val="24"/>
          <w:szCs w:val="24"/>
        </w:rPr>
        <w:t xml:space="preserve"> </w:t>
      </w:r>
      <w:r w:rsidR="00927005" w:rsidRPr="005D05BB">
        <w:rPr>
          <w:rFonts w:asciiTheme="majorBidi" w:hAnsiTheme="majorBidi" w:cstheme="majorBidi"/>
          <w:sz w:val="24"/>
          <w:szCs w:val="24"/>
        </w:rPr>
        <w:t xml:space="preserve">Cetin Z, Sezin Y,  Ihsan K, Alphan K,  Aysen T, Ozan S, Gulsun T, -Guchan A,  Demircan O, Volkan H, Mehmet AY, Levent U, Guven L, and Sibel B.(2012):  “Aberrations of Chromosomes 9 and 22 in Acute Lymphoblastic Leukemia Cases Detected by ES-FluorescenceIn SituHybridization.” </w:t>
      </w:r>
      <w:r w:rsidR="00927005" w:rsidRPr="005D05BB">
        <w:rPr>
          <w:rFonts w:asciiTheme="majorBidi" w:hAnsiTheme="majorBidi" w:cstheme="majorBidi"/>
          <w:i/>
          <w:iCs/>
          <w:sz w:val="24"/>
          <w:szCs w:val="24"/>
        </w:rPr>
        <w:t>Genetic Testing and Molecular Biomarkers</w:t>
      </w:r>
      <w:r w:rsidR="00927005" w:rsidRPr="005D05BB">
        <w:rPr>
          <w:rFonts w:asciiTheme="majorBidi" w:hAnsiTheme="majorBidi" w:cstheme="majorBidi"/>
          <w:sz w:val="24"/>
          <w:szCs w:val="24"/>
        </w:rPr>
        <w:t>, vol. 16, no. 5, pp. 318–323., doi:10.1089/gtmb.2011.0186.</w:t>
      </w:r>
    </w:p>
    <w:p w:rsidR="002802EC" w:rsidRPr="005D05BB" w:rsidRDefault="00E208A2" w:rsidP="005D05BB">
      <w:pPr>
        <w:spacing w:after="0" w:line="240" w:lineRule="auto"/>
        <w:ind w:left="284" w:hanging="284"/>
        <w:jc w:val="both"/>
        <w:rPr>
          <w:rFonts w:asciiTheme="majorBidi" w:hAnsiTheme="majorBidi" w:cstheme="majorBidi"/>
          <w:sz w:val="24"/>
          <w:szCs w:val="24"/>
        </w:rPr>
      </w:pPr>
      <w:r w:rsidRPr="005D05BB">
        <w:rPr>
          <w:rFonts w:asciiTheme="majorBidi" w:hAnsiTheme="majorBidi" w:cstheme="majorBidi"/>
          <w:b/>
          <w:bCs/>
          <w:sz w:val="24"/>
          <w:szCs w:val="24"/>
        </w:rPr>
        <w:t>11</w:t>
      </w:r>
      <w:r w:rsidR="002802EC" w:rsidRPr="005D05BB">
        <w:rPr>
          <w:rFonts w:asciiTheme="majorBidi" w:hAnsiTheme="majorBidi" w:cstheme="majorBidi"/>
          <w:b/>
          <w:bCs/>
          <w:sz w:val="24"/>
          <w:szCs w:val="24"/>
        </w:rPr>
        <w:t>-</w:t>
      </w:r>
      <w:r w:rsidR="002802EC" w:rsidRPr="005D05BB">
        <w:rPr>
          <w:sz w:val="24"/>
          <w:szCs w:val="24"/>
        </w:rPr>
        <w:t xml:space="preserve"> </w:t>
      </w:r>
      <w:hyperlink r:id="rId13" w:history="1">
        <w:r w:rsidR="002802EC" w:rsidRPr="005D05BB">
          <w:rPr>
            <w:rStyle w:val="Hyperlink"/>
            <w:rFonts w:asciiTheme="majorBidi" w:eastAsia="Times New Roman" w:hAnsiTheme="majorBidi" w:cstheme="majorBidi"/>
            <w:color w:val="000000" w:themeColor="text1"/>
            <w:sz w:val="24"/>
            <w:szCs w:val="24"/>
            <w:u w:val="none"/>
          </w:rPr>
          <w:t xml:space="preserve">Sanam Loghavi, </w:t>
        </w:r>
      </w:hyperlink>
      <w:hyperlink r:id="rId14" w:history="1">
        <w:r w:rsidR="002802EC" w:rsidRPr="005D05BB">
          <w:rPr>
            <w:rStyle w:val="Hyperlink"/>
            <w:rFonts w:asciiTheme="majorBidi" w:eastAsia="Times New Roman" w:hAnsiTheme="majorBidi" w:cstheme="majorBidi"/>
            <w:color w:val="000000" w:themeColor="text1"/>
            <w:sz w:val="24"/>
            <w:szCs w:val="24"/>
            <w:u w:val="none"/>
          </w:rPr>
          <w:t xml:space="preserve">Jeffery L. Kutok </w:t>
        </w:r>
      </w:hyperlink>
      <w:r w:rsidR="002802EC" w:rsidRPr="005D05BB">
        <w:rPr>
          <w:rFonts w:asciiTheme="majorBidi" w:hAnsiTheme="majorBidi" w:cstheme="majorBidi"/>
          <w:sz w:val="24"/>
          <w:szCs w:val="24"/>
        </w:rPr>
        <w:t>and</w:t>
      </w:r>
      <w:r w:rsidR="002802EC" w:rsidRPr="005D05BB">
        <w:rPr>
          <w:rFonts w:asciiTheme="majorBidi" w:eastAsia="Times New Roman" w:hAnsiTheme="majorBidi" w:cstheme="majorBidi"/>
          <w:color w:val="000000" w:themeColor="text1"/>
          <w:sz w:val="24"/>
          <w:szCs w:val="24"/>
        </w:rPr>
        <w:t xml:space="preserve"> </w:t>
      </w:r>
      <w:hyperlink r:id="rId15" w:history="1">
        <w:r w:rsidR="002802EC" w:rsidRPr="005D05BB">
          <w:rPr>
            <w:rStyle w:val="Hyperlink"/>
            <w:rFonts w:asciiTheme="majorBidi" w:eastAsia="Times New Roman" w:hAnsiTheme="majorBidi" w:cstheme="majorBidi"/>
            <w:color w:val="000000" w:themeColor="text1"/>
            <w:sz w:val="24"/>
            <w:szCs w:val="24"/>
            <w:u w:val="none"/>
          </w:rPr>
          <w:t xml:space="preserve">Jeffrey L. Jorgensen. (2015): </w:t>
        </w:r>
      </w:hyperlink>
      <w:r w:rsidR="002802EC" w:rsidRPr="005D05BB">
        <w:rPr>
          <w:rFonts w:asciiTheme="majorBidi" w:hAnsiTheme="majorBidi" w:cstheme="majorBidi"/>
          <w:b/>
          <w:bCs/>
          <w:sz w:val="24"/>
          <w:szCs w:val="24"/>
        </w:rPr>
        <w:t xml:space="preserve"> </w:t>
      </w:r>
      <w:r w:rsidR="002802EC" w:rsidRPr="005D05BB">
        <w:rPr>
          <w:rFonts w:asciiTheme="majorBidi" w:hAnsiTheme="majorBidi" w:cstheme="majorBidi"/>
          <w:sz w:val="24"/>
          <w:szCs w:val="24"/>
        </w:rPr>
        <w:t xml:space="preserve">“B-Acute Lymphoblastic Leukemia/Lymphoblastic Lymphoma .” </w:t>
      </w:r>
      <w:r w:rsidR="002802EC" w:rsidRPr="005D05BB">
        <w:rPr>
          <w:rFonts w:asciiTheme="majorBidi" w:hAnsiTheme="majorBidi" w:cstheme="majorBidi"/>
          <w:i/>
          <w:iCs/>
          <w:sz w:val="24"/>
          <w:szCs w:val="24"/>
        </w:rPr>
        <w:t>American Journal of Clinical Pathology</w:t>
      </w:r>
      <w:r w:rsidR="002802EC" w:rsidRPr="005D05BB">
        <w:rPr>
          <w:rFonts w:asciiTheme="majorBidi" w:hAnsiTheme="majorBidi" w:cstheme="majorBidi"/>
          <w:sz w:val="24"/>
          <w:szCs w:val="24"/>
        </w:rPr>
        <w:t xml:space="preserve">, vol. 144, no. 3, pp. 393–410., </w:t>
      </w:r>
      <w:r w:rsidR="002802EC" w:rsidRPr="005D05BB">
        <w:rPr>
          <w:rFonts w:asciiTheme="majorBidi" w:hAnsiTheme="majorBidi" w:cstheme="majorBidi"/>
          <w:sz w:val="24"/>
          <w:szCs w:val="24"/>
        </w:rPr>
        <w:lastRenderedPageBreak/>
        <w:t>doi:org/10.1309/AJCPAN7BH5DNYWZB.</w:t>
      </w:r>
    </w:p>
    <w:p w:rsidR="00C01EEE" w:rsidRPr="005D05BB" w:rsidRDefault="00E208A2" w:rsidP="005D05BB">
      <w:pPr>
        <w:autoSpaceDE w:val="0"/>
        <w:autoSpaceDN w:val="0"/>
        <w:adjustRightInd w:val="0"/>
        <w:spacing w:after="0" w:line="240" w:lineRule="auto"/>
        <w:ind w:left="284" w:hanging="284"/>
        <w:jc w:val="both"/>
        <w:rPr>
          <w:rFonts w:asciiTheme="majorBidi" w:hAnsiTheme="majorBidi" w:cstheme="majorBidi"/>
          <w:sz w:val="24"/>
          <w:szCs w:val="24"/>
        </w:rPr>
      </w:pPr>
      <w:r w:rsidRPr="005D05BB">
        <w:rPr>
          <w:rFonts w:asciiTheme="majorBidi" w:hAnsiTheme="majorBidi" w:cstheme="majorBidi"/>
          <w:b/>
          <w:bCs/>
          <w:sz w:val="24"/>
          <w:szCs w:val="24"/>
        </w:rPr>
        <w:t>12</w:t>
      </w:r>
      <w:r w:rsidR="002802EC" w:rsidRPr="005D05BB">
        <w:rPr>
          <w:rFonts w:asciiTheme="majorBidi" w:hAnsiTheme="majorBidi" w:cstheme="majorBidi"/>
          <w:b/>
          <w:bCs/>
          <w:sz w:val="24"/>
          <w:szCs w:val="24"/>
        </w:rPr>
        <w:t>-</w:t>
      </w:r>
      <w:r w:rsidR="002802EC" w:rsidRPr="005D05BB">
        <w:rPr>
          <w:rFonts w:asciiTheme="majorBidi" w:hAnsiTheme="majorBidi" w:cstheme="majorBidi"/>
          <w:sz w:val="24"/>
          <w:szCs w:val="24"/>
        </w:rPr>
        <w:t xml:space="preserve"> Aldoss I, Tracey S, Vinod P, Joycelynne P and Stephen F (2015): “The prognostic significance of additional cytogenetic abnormalities in adults with Philadelphia </w:t>
      </w:r>
      <w:r w:rsidR="002802EC" w:rsidRPr="005D05BB">
        <w:rPr>
          <w:rFonts w:asciiTheme="majorBidi" w:hAnsiTheme="majorBidi" w:cstheme="majorBidi"/>
          <w:sz w:val="24"/>
          <w:szCs w:val="24"/>
        </w:rPr>
        <w:lastRenderedPageBreak/>
        <w:t xml:space="preserve">chromosome positive acute lymphoblastic leukemia undergoing allogeneic stem cell transplant.” </w:t>
      </w:r>
      <w:r w:rsidR="002802EC" w:rsidRPr="005D05BB">
        <w:rPr>
          <w:rFonts w:asciiTheme="majorBidi" w:hAnsiTheme="majorBidi" w:cstheme="majorBidi"/>
          <w:i/>
          <w:iCs/>
          <w:sz w:val="24"/>
          <w:szCs w:val="24"/>
        </w:rPr>
        <w:t>Clinical Lymphoma Myeloma and Leukemia</w:t>
      </w:r>
      <w:r w:rsidR="002802EC" w:rsidRPr="005D05BB">
        <w:rPr>
          <w:rFonts w:asciiTheme="majorBidi" w:hAnsiTheme="majorBidi" w:cstheme="majorBidi"/>
          <w:sz w:val="24"/>
          <w:szCs w:val="24"/>
        </w:rPr>
        <w:t>, vol. 15, doi:10.1016/j.clml.2015.04.012.</w:t>
      </w:r>
    </w:p>
    <w:p w:rsidR="00335582" w:rsidRPr="005D05BB" w:rsidRDefault="00335582" w:rsidP="005D05BB">
      <w:pPr>
        <w:spacing w:after="0" w:line="240" w:lineRule="auto"/>
        <w:jc w:val="both"/>
        <w:rPr>
          <w:rFonts w:asciiTheme="majorBidi" w:eastAsia="Times New Roman" w:hAnsiTheme="majorBidi" w:cstheme="majorBidi"/>
          <w:b/>
          <w:bCs/>
          <w:sz w:val="24"/>
          <w:szCs w:val="24"/>
          <w:rtl/>
          <w:lang w:bidi="ar-EG"/>
        </w:rPr>
        <w:sectPr w:rsidR="00335582" w:rsidRPr="005D05BB" w:rsidSect="00335582">
          <w:type w:val="continuous"/>
          <w:pgSz w:w="12240" w:h="15840"/>
          <w:pgMar w:top="1440" w:right="1800" w:bottom="1440" w:left="1800" w:header="708" w:footer="708" w:gutter="0"/>
          <w:cols w:num="2" w:space="708"/>
          <w:docGrid w:linePitch="360"/>
        </w:sectPr>
      </w:pPr>
    </w:p>
    <w:p w:rsidR="00E208A2" w:rsidRPr="005D05BB" w:rsidRDefault="00E208A2" w:rsidP="005D05BB">
      <w:pPr>
        <w:spacing w:after="0" w:line="240" w:lineRule="auto"/>
        <w:jc w:val="both"/>
        <w:rPr>
          <w:rFonts w:asciiTheme="majorBidi" w:eastAsia="Times New Roman" w:hAnsiTheme="majorBidi" w:cstheme="majorBidi"/>
          <w:b/>
          <w:bCs/>
          <w:sz w:val="24"/>
          <w:szCs w:val="24"/>
          <w:lang w:bidi="ar-EG"/>
        </w:rPr>
      </w:pPr>
    </w:p>
    <w:p w:rsidR="00E208A2" w:rsidRDefault="00E208A2" w:rsidP="00135755">
      <w:pPr>
        <w:rPr>
          <w:rFonts w:asciiTheme="majorBidi" w:eastAsia="Times New Roman" w:hAnsiTheme="majorBidi" w:cstheme="majorBidi"/>
          <w:b/>
          <w:bCs/>
          <w:sz w:val="32"/>
          <w:szCs w:val="32"/>
          <w:lang w:bidi="ar-EG"/>
        </w:rPr>
      </w:pPr>
    </w:p>
    <w:p w:rsidR="005D05BB" w:rsidRDefault="005D05BB" w:rsidP="006959B3">
      <w:pPr>
        <w:jc w:val="center"/>
        <w:rPr>
          <w:rFonts w:asciiTheme="majorBidi" w:eastAsia="Times New Roman" w:hAnsiTheme="majorBidi" w:cstheme="majorBidi"/>
          <w:b/>
          <w:bCs/>
          <w:sz w:val="32"/>
          <w:szCs w:val="32"/>
          <w:lang w:bidi="ar-EG"/>
        </w:rPr>
      </w:pPr>
    </w:p>
    <w:p w:rsidR="00E56E2B" w:rsidRPr="00135755" w:rsidRDefault="00E56E2B" w:rsidP="006959B3">
      <w:pPr>
        <w:jc w:val="center"/>
        <w:rPr>
          <w:rFonts w:asciiTheme="majorBidi" w:eastAsia="Times New Roman" w:hAnsiTheme="majorBidi" w:cstheme="majorBidi"/>
          <w:b/>
          <w:bCs/>
          <w:sz w:val="36"/>
          <w:szCs w:val="36"/>
          <w:lang w:bidi="ar-EG"/>
        </w:rPr>
      </w:pPr>
      <w:r w:rsidRPr="00135755">
        <w:rPr>
          <w:rFonts w:asciiTheme="majorBidi" w:eastAsia="Times New Roman" w:hAnsiTheme="majorBidi" w:cstheme="majorBidi" w:hint="cs"/>
          <w:b/>
          <w:bCs/>
          <w:sz w:val="36"/>
          <w:szCs w:val="36"/>
          <w:rtl/>
          <w:lang w:bidi="ar-EG"/>
        </w:rPr>
        <w:t>الملخص العربى</w:t>
      </w:r>
    </w:p>
    <w:p w:rsidR="005E1D27" w:rsidRPr="005E1D27" w:rsidRDefault="005E1D27" w:rsidP="00AB4D1F">
      <w:pPr>
        <w:jc w:val="center"/>
        <w:rPr>
          <w:rFonts w:asciiTheme="majorBidi" w:hAnsiTheme="majorBidi" w:cstheme="majorBidi"/>
          <w:b/>
          <w:bCs/>
          <w:sz w:val="32"/>
          <w:szCs w:val="32"/>
          <w:rtl/>
          <w:lang w:bidi="ar-EG"/>
        </w:rPr>
      </w:pPr>
      <w:r w:rsidRPr="005E1D27">
        <w:rPr>
          <w:rFonts w:asciiTheme="majorBidi" w:hAnsiTheme="majorBidi" w:cstheme="majorBidi"/>
          <w:b/>
          <w:bCs/>
          <w:sz w:val="32"/>
          <w:szCs w:val="32"/>
          <w:rtl/>
          <w:lang w:bidi="ar-EG"/>
        </w:rPr>
        <w:t>فى سرطان الدم الليمفاوى الحاد</w:t>
      </w:r>
      <w:r w:rsidRPr="005E1D27">
        <w:rPr>
          <w:rFonts w:asciiTheme="majorBidi" w:hAnsiTheme="majorBidi" w:cstheme="majorBidi"/>
          <w:b/>
          <w:bCs/>
          <w:sz w:val="32"/>
          <w:szCs w:val="32"/>
          <w:lang w:bidi="ar-EG"/>
        </w:rPr>
        <w:t xml:space="preserve"> </w:t>
      </w:r>
      <w:r w:rsidRPr="00AB4D1F">
        <w:rPr>
          <w:rFonts w:asciiTheme="majorBidi" w:hAnsiTheme="majorBidi" w:cstheme="majorBidi"/>
          <w:b/>
          <w:bCs/>
          <w:sz w:val="32"/>
          <w:szCs w:val="32"/>
          <w:lang w:bidi="ar-EG"/>
        </w:rPr>
        <w:t xml:space="preserve"> </w:t>
      </w:r>
      <w:r w:rsidR="00AB4D1F" w:rsidRPr="00AB4D1F">
        <w:rPr>
          <w:rFonts w:asciiTheme="majorBidi" w:hAnsiTheme="majorBidi" w:cstheme="majorBidi"/>
          <w:b/>
          <w:bCs/>
          <w:color w:val="000000"/>
          <w:sz w:val="32"/>
          <w:szCs w:val="32"/>
          <w:rtl/>
          <w:lang w:bidi="ar-EG"/>
        </w:rPr>
        <w:t xml:space="preserve">كروموسوم </w:t>
      </w:r>
      <w:r w:rsidR="00721995">
        <w:rPr>
          <w:rFonts w:asciiTheme="majorBidi" w:hAnsiTheme="majorBidi" w:cstheme="majorBidi" w:hint="cs"/>
          <w:b/>
          <w:bCs/>
          <w:color w:val="000000"/>
          <w:sz w:val="32"/>
          <w:szCs w:val="32"/>
          <w:rtl/>
          <w:lang w:bidi="ar-EG"/>
        </w:rPr>
        <w:t>ال</w:t>
      </w:r>
      <w:r w:rsidR="00AB4D1F" w:rsidRPr="00AB4D1F">
        <w:rPr>
          <w:rFonts w:asciiTheme="majorBidi" w:hAnsiTheme="majorBidi" w:cstheme="majorBidi"/>
          <w:b/>
          <w:bCs/>
          <w:color w:val="000000"/>
          <w:sz w:val="32"/>
          <w:szCs w:val="32"/>
          <w:rtl/>
          <w:lang w:bidi="ar-EG"/>
        </w:rPr>
        <w:t>فيلادلفيا</w:t>
      </w:r>
    </w:p>
    <w:p w:rsidR="00721964" w:rsidRPr="00B40395" w:rsidRDefault="00721964" w:rsidP="00B40395">
      <w:pPr>
        <w:bidi/>
        <w:jc w:val="center"/>
        <w:rPr>
          <w:rFonts w:asciiTheme="majorBidi" w:hAnsiTheme="majorBidi" w:cstheme="majorBidi"/>
          <w:b/>
          <w:bCs/>
          <w:sz w:val="24"/>
          <w:szCs w:val="24"/>
          <w:lang w:bidi="ar-EG"/>
        </w:rPr>
      </w:pPr>
      <w:r w:rsidRPr="00B40395">
        <w:rPr>
          <w:rFonts w:asciiTheme="majorBidi" w:hAnsiTheme="majorBidi" w:cstheme="majorBidi"/>
          <w:b/>
          <w:bCs/>
          <w:sz w:val="24"/>
          <w:szCs w:val="24"/>
          <w:rtl/>
          <w:lang w:bidi="ar-EG"/>
        </w:rPr>
        <w:t xml:space="preserve">أد. دينا عادل فؤاد </w:t>
      </w:r>
      <w:r w:rsidRPr="00B40395">
        <w:rPr>
          <w:rFonts w:asciiTheme="majorBidi" w:hAnsiTheme="majorBidi" w:cstheme="majorBidi"/>
          <w:b/>
          <w:bCs/>
          <w:sz w:val="24"/>
          <w:szCs w:val="24"/>
          <w:vertAlign w:val="superscript"/>
          <w:rtl/>
          <w:lang w:bidi="ar-EG"/>
        </w:rPr>
        <w:t>1</w:t>
      </w:r>
      <w:r w:rsidRPr="00B40395">
        <w:rPr>
          <w:rFonts w:asciiTheme="majorBidi" w:hAnsiTheme="majorBidi" w:cstheme="majorBidi"/>
          <w:b/>
          <w:bCs/>
          <w:sz w:val="24"/>
          <w:szCs w:val="24"/>
          <w:rtl/>
          <w:lang w:bidi="ar-EG"/>
        </w:rPr>
        <w:t>,أ د.حسناء أحمد ابوالوفا</w:t>
      </w:r>
      <w:r w:rsidRPr="00B40395">
        <w:rPr>
          <w:rFonts w:asciiTheme="majorBidi" w:hAnsiTheme="majorBidi" w:cstheme="majorBidi"/>
          <w:b/>
          <w:bCs/>
          <w:sz w:val="24"/>
          <w:szCs w:val="24"/>
          <w:vertAlign w:val="superscript"/>
          <w:rtl/>
          <w:lang w:bidi="ar-EG"/>
        </w:rPr>
        <w:t>2</w:t>
      </w:r>
      <w:r w:rsidRPr="00B40395">
        <w:rPr>
          <w:rFonts w:asciiTheme="majorBidi" w:hAnsiTheme="majorBidi" w:cstheme="majorBidi"/>
          <w:b/>
          <w:bCs/>
          <w:sz w:val="24"/>
          <w:szCs w:val="24"/>
          <w:rtl/>
          <w:lang w:bidi="ar-EG"/>
        </w:rPr>
        <w:t>, د.أحمد</w:t>
      </w:r>
      <w:r w:rsidR="008C5D5F" w:rsidRPr="00B40395">
        <w:rPr>
          <w:rFonts w:asciiTheme="majorBidi" w:hAnsiTheme="majorBidi" w:cstheme="majorBidi"/>
          <w:b/>
          <w:bCs/>
          <w:sz w:val="24"/>
          <w:szCs w:val="24"/>
          <w:rtl/>
          <w:lang w:bidi="ar-EG"/>
        </w:rPr>
        <w:t xml:space="preserve"> أحمد</w:t>
      </w:r>
      <w:r w:rsidRPr="00B40395">
        <w:rPr>
          <w:rFonts w:asciiTheme="majorBidi" w:hAnsiTheme="majorBidi" w:cstheme="majorBidi"/>
          <w:b/>
          <w:bCs/>
          <w:sz w:val="24"/>
          <w:szCs w:val="24"/>
          <w:rtl/>
          <w:lang w:bidi="ar-EG"/>
        </w:rPr>
        <w:t xml:space="preserve"> علام</w:t>
      </w:r>
      <w:r w:rsidRPr="00B40395">
        <w:rPr>
          <w:rFonts w:asciiTheme="majorBidi" w:hAnsiTheme="majorBidi" w:cstheme="majorBidi"/>
          <w:b/>
          <w:bCs/>
          <w:sz w:val="24"/>
          <w:szCs w:val="24"/>
          <w:vertAlign w:val="superscript"/>
          <w:rtl/>
          <w:lang w:bidi="ar-EG"/>
        </w:rPr>
        <w:t>2</w:t>
      </w:r>
      <w:r w:rsidRPr="00B40395">
        <w:rPr>
          <w:rFonts w:asciiTheme="majorBidi" w:hAnsiTheme="majorBidi" w:cstheme="majorBidi"/>
          <w:b/>
          <w:bCs/>
          <w:sz w:val="24"/>
          <w:szCs w:val="24"/>
          <w:rtl/>
          <w:lang w:bidi="ar-EG"/>
        </w:rPr>
        <w:t>, د/شيرين فيليب عزيز</w:t>
      </w:r>
      <w:r w:rsidRPr="00B40395">
        <w:rPr>
          <w:rFonts w:asciiTheme="majorBidi" w:hAnsiTheme="majorBidi" w:cstheme="majorBidi"/>
          <w:b/>
          <w:bCs/>
          <w:sz w:val="24"/>
          <w:szCs w:val="24"/>
          <w:vertAlign w:val="superscript"/>
          <w:rtl/>
          <w:lang w:bidi="ar-EG"/>
        </w:rPr>
        <w:t>2</w:t>
      </w:r>
      <w:r w:rsidRPr="00B40395">
        <w:rPr>
          <w:rFonts w:asciiTheme="majorBidi" w:hAnsiTheme="majorBidi" w:cstheme="majorBidi"/>
          <w:b/>
          <w:bCs/>
          <w:sz w:val="24"/>
          <w:szCs w:val="24"/>
          <w:rtl/>
          <w:lang w:bidi="ar-EG"/>
        </w:rPr>
        <w:t>, ط.نسمة مختار</w:t>
      </w:r>
      <w:r w:rsidR="008C5D5F" w:rsidRPr="00B40395">
        <w:rPr>
          <w:rFonts w:asciiTheme="majorBidi" w:hAnsiTheme="majorBidi" w:cstheme="majorBidi"/>
          <w:b/>
          <w:bCs/>
          <w:sz w:val="24"/>
          <w:szCs w:val="24"/>
          <w:vertAlign w:val="superscript"/>
          <w:rtl/>
          <w:lang w:bidi="ar-EG"/>
        </w:rPr>
        <w:t>2</w:t>
      </w:r>
    </w:p>
    <w:p w:rsidR="00EB149E" w:rsidRPr="00EB149E" w:rsidRDefault="00721964" w:rsidP="00EB149E">
      <w:pPr>
        <w:jc w:val="center"/>
        <w:rPr>
          <w:rFonts w:asciiTheme="majorBidi" w:hAnsiTheme="majorBidi" w:cstheme="majorBidi"/>
          <w:b/>
          <w:bCs/>
          <w:i/>
          <w:iCs/>
          <w:sz w:val="28"/>
          <w:szCs w:val="28"/>
          <w:lang w:bidi="ar-EG"/>
        </w:rPr>
      </w:pPr>
      <w:r w:rsidRPr="00B40395">
        <w:rPr>
          <w:rFonts w:asciiTheme="majorBidi" w:hAnsiTheme="majorBidi" w:cstheme="majorBidi"/>
          <w:sz w:val="28"/>
          <w:szCs w:val="28"/>
          <w:rtl/>
          <w:lang w:bidi="ar-EG"/>
        </w:rPr>
        <w:t xml:space="preserve"> </w:t>
      </w:r>
      <w:r w:rsidR="00EB149E" w:rsidRPr="00B40395">
        <w:rPr>
          <w:rFonts w:asciiTheme="majorBidi" w:hAnsiTheme="majorBidi" w:cstheme="majorBidi"/>
          <w:sz w:val="28"/>
          <w:szCs w:val="28"/>
          <w:rtl/>
          <w:lang w:bidi="ar-EG"/>
        </w:rPr>
        <w:t>قسم</w:t>
      </w:r>
      <w:r w:rsidR="00EB149E" w:rsidRPr="00B40395">
        <w:rPr>
          <w:rFonts w:asciiTheme="majorBidi" w:hAnsiTheme="majorBidi" w:cstheme="majorBidi"/>
          <w:b/>
          <w:bCs/>
          <w:sz w:val="28"/>
          <w:szCs w:val="28"/>
          <w:rtl/>
          <w:lang w:bidi="ar-EG"/>
        </w:rPr>
        <w:t xml:space="preserve"> </w:t>
      </w:r>
      <w:r w:rsidR="00EB149E" w:rsidRPr="00B40395">
        <w:rPr>
          <w:rFonts w:asciiTheme="majorBidi" w:hAnsiTheme="majorBidi" w:cstheme="majorBidi"/>
          <w:sz w:val="28"/>
          <w:szCs w:val="28"/>
          <w:rtl/>
          <w:lang w:bidi="ar-EG"/>
        </w:rPr>
        <w:t>الباثولوجيا الاكلينيكية كلية الطب-جامعة عين شمس</w:t>
      </w:r>
      <w:r w:rsidR="00EB149E" w:rsidRPr="00B40395">
        <w:rPr>
          <w:rFonts w:asciiTheme="majorBidi" w:hAnsiTheme="majorBidi" w:cstheme="majorBidi"/>
          <w:sz w:val="28"/>
          <w:szCs w:val="28"/>
          <w:vertAlign w:val="superscript"/>
          <w:rtl/>
          <w:lang w:bidi="ar-EG"/>
        </w:rPr>
        <w:t>1</w:t>
      </w:r>
      <w:r w:rsidR="00EB149E" w:rsidRPr="00B40395">
        <w:rPr>
          <w:rFonts w:asciiTheme="majorBidi" w:hAnsiTheme="majorBidi" w:cstheme="majorBidi"/>
          <w:sz w:val="28"/>
          <w:szCs w:val="28"/>
          <w:rtl/>
          <w:lang w:bidi="ar-EG"/>
        </w:rPr>
        <w:t xml:space="preserve"> وجامعة سوهاج</w:t>
      </w:r>
      <w:r w:rsidR="00EB149E" w:rsidRPr="00EB149E">
        <w:rPr>
          <w:rFonts w:asciiTheme="majorBidi" w:hAnsiTheme="majorBidi" w:cstheme="majorBidi"/>
          <w:sz w:val="28"/>
          <w:szCs w:val="28"/>
          <w:vertAlign w:val="superscript"/>
          <w:rtl/>
          <w:lang w:bidi="ar-EG"/>
        </w:rPr>
        <w:t>2</w:t>
      </w:r>
    </w:p>
    <w:p w:rsidR="00C6001B" w:rsidRPr="003E7AA8" w:rsidRDefault="008A6C29" w:rsidP="00901F7A">
      <w:pPr>
        <w:pStyle w:val="HTMLPreformatted"/>
        <w:bidi/>
        <w:spacing w:line="360" w:lineRule="auto"/>
        <w:jc w:val="both"/>
        <w:rPr>
          <w:rFonts w:asciiTheme="majorBidi" w:hAnsiTheme="majorBidi" w:cstheme="majorBidi"/>
          <w:sz w:val="24"/>
          <w:szCs w:val="24"/>
        </w:rPr>
      </w:pPr>
      <w:r w:rsidRPr="003E7AA8">
        <w:rPr>
          <w:rFonts w:asciiTheme="majorBidi" w:hAnsiTheme="majorBidi" w:cstheme="majorBidi"/>
          <w:color w:val="000000"/>
          <w:sz w:val="24"/>
          <w:szCs w:val="24"/>
          <w:rtl/>
          <w:lang w:bidi="ar-EG"/>
        </w:rPr>
        <w:t xml:space="preserve">     سرطان الدم الليمفاوي الحاد هو مرض خبيث فى نخاع العظام حيث تتكاثر  السلائف اللمفاوية المبكرة وتحل محل خلايا الدم العادية المكونة للنخاع.  وقد وجد ان لشذوذ الخلايا الوراثية قيمة تنبؤية مختلفة من حيث نتائج مرضي سرطان الدم الليمفاوي الحاد البالغين. ان الدراسات الوراثية الحديثة وفرت خارطة الجينات الوراثية المكررة لسرطان الدم الليمفاوي الحاد وزيادة عدد العلامات التشخيصية المحتملة.</w:t>
      </w:r>
      <w:r w:rsidR="00E52884" w:rsidRPr="003E7AA8">
        <w:rPr>
          <w:rFonts w:asciiTheme="majorBidi" w:hAnsiTheme="majorBidi" w:cstheme="majorBidi"/>
          <w:color w:val="000000"/>
          <w:sz w:val="24"/>
          <w:szCs w:val="24"/>
          <w:rtl/>
          <w:lang w:bidi="ar-EG"/>
        </w:rPr>
        <w:t xml:space="preserve"> مرضي سرطان الدم الليمفاوي الحاد من البالغين والاطفال يختلفوا  بشكل ملحوظ في انتشار حالات الشذوذ الخلوية الوراثية المختلفة.  حيث يميزكروموسوم فيلادلفيا ، مجموعة فرعية من الشذوذ الخلوية الوراثية عالية الخطورة، ويوجد فى 25-30٪من حالات البالغين ولكن تحدث في أقل من 5٪من الاطفال.  </w:t>
      </w:r>
      <w:r w:rsidR="00667C1F" w:rsidRPr="003E7AA8">
        <w:rPr>
          <w:rFonts w:asciiTheme="majorBidi" w:hAnsiTheme="majorBidi" w:cstheme="majorBidi"/>
          <w:sz w:val="24"/>
          <w:szCs w:val="24"/>
          <w:rtl/>
        </w:rPr>
        <w:t xml:space="preserve">وقد أجريت هذه الدراسة على 39 بالغ مصاب حديثا بسرطان الدم الليمفاوى الحاد الذين كانوا يحضرون عيادات أمراض أورام الدم. تعرض جميع المرضى للفحص السريري والتحقيقات المختبرية، والتي شملت صورة دم كاملة , فحص افلام لعينة الدم ونخاع العظام, التصنيف الخلوى المناعى والتهجين الموضعى بالوميض الفللورى لتشخيص وجود </w:t>
      </w:r>
      <w:r w:rsidR="00667C1F" w:rsidRPr="003E7AA8">
        <w:rPr>
          <w:rFonts w:asciiTheme="majorBidi" w:hAnsiTheme="majorBidi" w:cstheme="majorBidi"/>
          <w:color w:val="000000"/>
          <w:sz w:val="24"/>
          <w:szCs w:val="24"/>
          <w:rtl/>
          <w:lang w:bidi="ar-EG"/>
        </w:rPr>
        <w:t xml:space="preserve">كروموسوم فيلادلفيا. </w:t>
      </w:r>
      <w:r w:rsidR="00EB2DA1" w:rsidRPr="003E7AA8">
        <w:rPr>
          <w:rFonts w:asciiTheme="majorBidi" w:hAnsiTheme="majorBidi" w:cstheme="majorBidi"/>
          <w:sz w:val="24"/>
          <w:szCs w:val="24"/>
          <w:rtl/>
        </w:rPr>
        <w:t xml:space="preserve">أظهر التحليل الإحصائي للمرضى </w:t>
      </w:r>
      <w:r w:rsidR="00C6001B" w:rsidRPr="003E7AA8">
        <w:rPr>
          <w:rFonts w:asciiTheme="majorBidi" w:hAnsiTheme="majorBidi" w:cstheme="majorBidi" w:hint="cs"/>
          <w:sz w:val="24"/>
          <w:szCs w:val="24"/>
          <w:rtl/>
        </w:rPr>
        <w:t>الايجابى ل</w:t>
      </w:r>
      <w:r w:rsidR="00901F7A" w:rsidRPr="003E7AA8">
        <w:rPr>
          <w:rFonts w:asciiTheme="majorBidi" w:hAnsiTheme="majorBidi" w:cstheme="majorBidi"/>
          <w:color w:val="000000"/>
          <w:sz w:val="24"/>
          <w:szCs w:val="24"/>
          <w:rtl/>
          <w:lang w:bidi="ar-EG"/>
        </w:rPr>
        <w:t>كروموسوم فيلادلفيا</w:t>
      </w:r>
      <w:r w:rsidR="00EB2DA1" w:rsidRPr="003E7AA8">
        <w:rPr>
          <w:rFonts w:asciiTheme="majorBidi" w:hAnsiTheme="majorBidi" w:cstheme="majorBidi"/>
          <w:sz w:val="24"/>
          <w:szCs w:val="24"/>
          <w:rtl/>
        </w:rPr>
        <w:t xml:space="preserve"> </w:t>
      </w:r>
      <w:r w:rsidR="006D0523" w:rsidRPr="003E7AA8">
        <w:rPr>
          <w:rFonts w:asciiTheme="majorBidi" w:hAnsiTheme="majorBidi" w:cstheme="majorBidi" w:hint="cs"/>
          <w:sz w:val="24"/>
          <w:szCs w:val="24"/>
          <w:rtl/>
        </w:rPr>
        <w:t>وجود</w:t>
      </w:r>
      <w:r w:rsidR="00EB2DA1" w:rsidRPr="003E7AA8">
        <w:rPr>
          <w:rFonts w:asciiTheme="majorBidi" w:hAnsiTheme="majorBidi" w:cstheme="majorBidi"/>
          <w:sz w:val="24"/>
          <w:szCs w:val="24"/>
          <w:rtl/>
        </w:rPr>
        <w:t xml:space="preserve"> ارتباط </w:t>
      </w:r>
      <w:r w:rsidR="00436D5F">
        <w:rPr>
          <w:rFonts w:asciiTheme="majorBidi" w:hAnsiTheme="majorBidi" w:cstheme="majorBidi" w:hint="cs"/>
          <w:sz w:val="24"/>
          <w:szCs w:val="24"/>
          <w:rtl/>
        </w:rPr>
        <w:t>قوى</w:t>
      </w:r>
      <w:r w:rsidR="00EB2DA1" w:rsidRPr="003E7AA8">
        <w:rPr>
          <w:rFonts w:asciiTheme="majorBidi" w:hAnsiTheme="majorBidi" w:cstheme="majorBidi"/>
          <w:sz w:val="24"/>
          <w:szCs w:val="24"/>
          <w:rtl/>
        </w:rPr>
        <w:t xml:space="preserve"> (</w:t>
      </w:r>
      <w:r w:rsidR="00EB2DA1" w:rsidRPr="003E7AA8">
        <w:rPr>
          <w:rFonts w:asciiTheme="majorBidi" w:hAnsiTheme="majorBidi" w:cstheme="majorBidi"/>
          <w:sz w:val="24"/>
          <w:szCs w:val="24"/>
        </w:rPr>
        <w:t>p</w:t>
      </w:r>
      <w:r w:rsidR="00EB2DA1" w:rsidRPr="003E7AA8">
        <w:rPr>
          <w:rFonts w:asciiTheme="majorBidi" w:hAnsiTheme="majorBidi" w:cstheme="majorBidi"/>
          <w:sz w:val="24"/>
          <w:szCs w:val="24"/>
          <w:rtl/>
        </w:rPr>
        <w:t xml:space="preserve"> &lt;0.05) مع </w:t>
      </w:r>
      <w:r w:rsidR="006D0523" w:rsidRPr="003E7AA8">
        <w:rPr>
          <w:rFonts w:asciiTheme="majorBidi" w:hAnsiTheme="majorBidi" w:cstheme="majorBidi" w:hint="cs"/>
          <w:sz w:val="24"/>
          <w:szCs w:val="24"/>
          <w:rtl/>
        </w:rPr>
        <w:t>ال</w:t>
      </w:r>
      <w:r w:rsidR="00EB2DA1" w:rsidRPr="003E7AA8">
        <w:rPr>
          <w:rFonts w:asciiTheme="majorBidi" w:hAnsiTheme="majorBidi" w:cstheme="majorBidi"/>
          <w:sz w:val="24"/>
          <w:szCs w:val="24"/>
          <w:rtl/>
        </w:rPr>
        <w:t>عمر&gt; 35 سنة ، تضخم الكبد و الطحال، وغياب اعتلال العقد اللمفية،</w:t>
      </w:r>
      <w:r w:rsidR="006D0523" w:rsidRPr="003E7AA8">
        <w:rPr>
          <w:rFonts w:asciiTheme="majorBidi" w:hAnsiTheme="majorBidi" w:cstheme="majorBidi" w:hint="cs"/>
          <w:sz w:val="24"/>
          <w:szCs w:val="24"/>
          <w:rtl/>
        </w:rPr>
        <w:t xml:space="preserve"> عد كرات الدم البيضاء </w:t>
      </w:r>
      <w:r w:rsidR="00EB2DA1" w:rsidRPr="003E7AA8">
        <w:rPr>
          <w:rFonts w:asciiTheme="majorBidi" w:hAnsiTheme="majorBidi" w:cstheme="majorBidi"/>
          <w:sz w:val="24"/>
          <w:szCs w:val="24"/>
          <w:rtl/>
        </w:rPr>
        <w:t>≥50</w:t>
      </w:r>
      <w:r w:rsidR="00EB2DA1" w:rsidRPr="003E7AA8">
        <w:rPr>
          <w:rFonts w:asciiTheme="majorBidi" w:hAnsiTheme="majorBidi" w:cstheme="majorBidi"/>
          <w:sz w:val="24"/>
          <w:szCs w:val="24"/>
        </w:rPr>
        <w:t>X109 / L</w:t>
      </w:r>
      <w:r w:rsidR="006D0523" w:rsidRPr="003E7AA8">
        <w:rPr>
          <w:rFonts w:asciiTheme="majorBidi" w:hAnsiTheme="majorBidi" w:cstheme="majorBidi" w:hint="cs"/>
          <w:sz w:val="24"/>
          <w:szCs w:val="24"/>
          <w:rtl/>
        </w:rPr>
        <w:t xml:space="preserve"> </w:t>
      </w:r>
      <w:r w:rsidR="00AB4D1F">
        <w:rPr>
          <w:rFonts w:asciiTheme="majorBidi" w:hAnsiTheme="majorBidi" w:cstheme="majorBidi"/>
          <w:sz w:val="24"/>
          <w:szCs w:val="24"/>
          <w:rtl/>
        </w:rPr>
        <w:t xml:space="preserve"> و</w:t>
      </w:r>
      <w:r w:rsidR="00AB4D1F">
        <w:rPr>
          <w:rFonts w:asciiTheme="majorBidi" w:hAnsiTheme="majorBidi" w:cstheme="majorBidi" w:hint="cs"/>
          <w:sz w:val="24"/>
          <w:szCs w:val="24"/>
          <w:rtl/>
          <w:lang w:bidi="ar-EG"/>
        </w:rPr>
        <w:t>التدفق الخلوى</w:t>
      </w:r>
      <w:r w:rsidR="006D0523" w:rsidRPr="003E7AA8">
        <w:rPr>
          <w:rFonts w:asciiTheme="majorBidi" w:hAnsiTheme="majorBidi" w:cstheme="majorBidi" w:hint="cs"/>
          <w:sz w:val="24"/>
          <w:szCs w:val="24"/>
          <w:rtl/>
        </w:rPr>
        <w:t>.</w:t>
      </w:r>
      <w:r w:rsidR="00EB2DA1" w:rsidRPr="003E7AA8">
        <w:rPr>
          <w:rFonts w:asciiTheme="majorBidi" w:hAnsiTheme="majorBidi" w:cstheme="majorBidi"/>
          <w:sz w:val="24"/>
          <w:szCs w:val="24"/>
          <w:rtl/>
        </w:rPr>
        <w:t xml:space="preserve"> </w:t>
      </w:r>
      <w:r w:rsidR="00C6001B" w:rsidRPr="003E7AA8">
        <w:rPr>
          <w:rFonts w:asciiTheme="majorBidi" w:hAnsiTheme="majorBidi" w:cstheme="majorBidi" w:hint="cs"/>
          <w:sz w:val="24"/>
          <w:szCs w:val="24"/>
          <w:rtl/>
        </w:rPr>
        <w:t xml:space="preserve">وفى نهاية هذة الدراسة وصلنا الى </w:t>
      </w:r>
      <w:r w:rsidR="006D0523" w:rsidRPr="003E7AA8">
        <w:rPr>
          <w:rFonts w:asciiTheme="majorBidi" w:hAnsiTheme="majorBidi" w:cstheme="majorBidi" w:hint="cs"/>
          <w:sz w:val="24"/>
          <w:szCs w:val="24"/>
          <w:rtl/>
        </w:rPr>
        <w:t>ان مرضى سرطان الدم اليمفاوى الحاد مع وجود</w:t>
      </w:r>
      <w:r w:rsidR="00C6001B" w:rsidRPr="003E7AA8">
        <w:rPr>
          <w:rFonts w:asciiTheme="majorBidi" w:hAnsiTheme="majorBidi" w:cstheme="majorBidi"/>
          <w:sz w:val="24"/>
          <w:szCs w:val="24"/>
        </w:rPr>
        <w:t xml:space="preserve"> </w:t>
      </w:r>
      <w:r w:rsidR="00AB4D1F" w:rsidRPr="003E7AA8">
        <w:rPr>
          <w:rFonts w:asciiTheme="majorBidi" w:hAnsiTheme="majorBidi" w:cstheme="majorBidi"/>
          <w:color w:val="000000"/>
          <w:sz w:val="24"/>
          <w:szCs w:val="24"/>
          <w:rtl/>
          <w:lang w:bidi="ar-EG"/>
        </w:rPr>
        <w:t xml:space="preserve">كروموسوم فيلادلفيا </w:t>
      </w:r>
      <w:r w:rsidR="00AC6633" w:rsidRPr="003E7AA8">
        <w:rPr>
          <w:rFonts w:asciiTheme="majorBidi" w:hAnsiTheme="majorBidi" w:cstheme="majorBidi" w:hint="cs"/>
          <w:sz w:val="24"/>
          <w:szCs w:val="24"/>
          <w:rtl/>
        </w:rPr>
        <w:t>متنبأ لهم عدم معافاة كاملة</w:t>
      </w:r>
      <w:r w:rsidR="00C6001B" w:rsidRPr="003E7AA8">
        <w:rPr>
          <w:rFonts w:asciiTheme="majorBidi" w:hAnsiTheme="majorBidi" w:cstheme="majorBidi"/>
          <w:sz w:val="24"/>
          <w:szCs w:val="24"/>
          <w:rtl/>
        </w:rPr>
        <w:t>.</w:t>
      </w:r>
    </w:p>
    <w:p w:rsidR="00EB2DA1" w:rsidRPr="00C6001B" w:rsidRDefault="00EB2DA1" w:rsidP="00EB2DA1">
      <w:pPr>
        <w:pStyle w:val="HTMLPreformatted"/>
        <w:bidi/>
        <w:spacing w:line="360" w:lineRule="auto"/>
        <w:jc w:val="both"/>
        <w:rPr>
          <w:rFonts w:asciiTheme="majorBidi" w:hAnsiTheme="majorBidi" w:cstheme="majorBidi"/>
          <w:sz w:val="28"/>
          <w:szCs w:val="28"/>
        </w:rPr>
      </w:pPr>
    </w:p>
    <w:p w:rsidR="00667C1F" w:rsidRDefault="00667C1F" w:rsidP="00667C1F">
      <w:pPr>
        <w:jc w:val="right"/>
        <w:rPr>
          <w:color w:val="000000"/>
          <w:sz w:val="28"/>
          <w:szCs w:val="28"/>
          <w:rtl/>
          <w:lang w:bidi="ar-EG"/>
        </w:rPr>
      </w:pPr>
    </w:p>
    <w:p w:rsidR="004412FB" w:rsidRPr="004412FB" w:rsidRDefault="008A6C29" w:rsidP="004412FB">
      <w:pPr>
        <w:jc w:val="right"/>
        <w:rPr>
          <w:sz w:val="28"/>
          <w:szCs w:val="28"/>
          <w:rtl/>
          <w:lang w:bidi="ar-EG"/>
        </w:rPr>
      </w:pPr>
      <w:r w:rsidRPr="00193348">
        <w:rPr>
          <w:color w:val="000000"/>
          <w:sz w:val="28"/>
          <w:szCs w:val="28"/>
          <w:rtl/>
          <w:lang w:bidi="ar-EG"/>
        </w:rPr>
        <w:t xml:space="preserve"> </w:t>
      </w:r>
      <w:r w:rsidRPr="00193348">
        <w:rPr>
          <w:rFonts w:hint="cs"/>
          <w:color w:val="000000"/>
          <w:sz w:val="28"/>
          <w:szCs w:val="28"/>
          <w:rtl/>
          <w:lang w:bidi="ar-EG"/>
        </w:rPr>
        <w:t xml:space="preserve"> </w:t>
      </w:r>
    </w:p>
    <w:sectPr w:rsidR="004412FB" w:rsidRPr="004412FB" w:rsidSect="00E14821">
      <w:type w:val="continuous"/>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37F" w:rsidRDefault="0082537F" w:rsidP="004412FB">
      <w:pPr>
        <w:spacing w:after="0" w:line="240" w:lineRule="auto"/>
      </w:pPr>
      <w:r>
        <w:separator/>
      </w:r>
    </w:p>
  </w:endnote>
  <w:endnote w:type="continuationSeparator" w:id="1">
    <w:p w:rsidR="0082537F" w:rsidRDefault="0082537F" w:rsidP="00441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125"/>
      <w:docPartObj>
        <w:docPartGallery w:val="Page Numbers (Bottom of Page)"/>
        <w:docPartUnique/>
      </w:docPartObj>
    </w:sdtPr>
    <w:sdtContent>
      <w:p w:rsidR="00E14821" w:rsidRDefault="00334EE9">
        <w:pPr>
          <w:pStyle w:val="Footer"/>
          <w:jc w:val="center"/>
        </w:pPr>
        <w:r w:rsidRPr="005D05BB">
          <w:rPr>
            <w:rFonts w:asciiTheme="majorBidi" w:hAnsiTheme="majorBidi" w:cstheme="majorBidi"/>
            <w:b/>
            <w:bCs/>
            <w:sz w:val="24"/>
            <w:szCs w:val="24"/>
          </w:rPr>
          <w:fldChar w:fldCharType="begin"/>
        </w:r>
        <w:r w:rsidR="001A0497" w:rsidRPr="005D05BB">
          <w:rPr>
            <w:rFonts w:asciiTheme="majorBidi" w:hAnsiTheme="majorBidi" w:cstheme="majorBidi"/>
            <w:b/>
            <w:bCs/>
            <w:sz w:val="24"/>
            <w:szCs w:val="24"/>
          </w:rPr>
          <w:instrText xml:space="preserve"> PAGE   \* MERGEFORMAT </w:instrText>
        </w:r>
        <w:r w:rsidRPr="005D05BB">
          <w:rPr>
            <w:rFonts w:asciiTheme="majorBidi" w:hAnsiTheme="majorBidi" w:cstheme="majorBidi"/>
            <w:b/>
            <w:bCs/>
            <w:sz w:val="24"/>
            <w:szCs w:val="24"/>
          </w:rPr>
          <w:fldChar w:fldCharType="separate"/>
        </w:r>
        <w:r w:rsidR="00914994">
          <w:rPr>
            <w:rFonts w:asciiTheme="majorBidi" w:hAnsiTheme="majorBidi" w:cstheme="majorBidi"/>
            <w:b/>
            <w:bCs/>
            <w:noProof/>
            <w:sz w:val="24"/>
            <w:szCs w:val="24"/>
          </w:rPr>
          <w:t>429</w:t>
        </w:r>
        <w:r w:rsidRPr="005D05BB">
          <w:rPr>
            <w:rFonts w:asciiTheme="majorBidi" w:hAnsiTheme="majorBidi" w:cstheme="majorBidi"/>
            <w:b/>
            <w:bCs/>
            <w:sz w:val="24"/>
            <w:szCs w:val="24"/>
          </w:rPr>
          <w:fldChar w:fldCharType="end"/>
        </w:r>
      </w:p>
    </w:sdtContent>
  </w:sdt>
  <w:p w:rsidR="00E14821" w:rsidRDefault="00E148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42060"/>
      <w:docPartObj>
        <w:docPartGallery w:val="Page Numbers (Bottom of Page)"/>
        <w:docPartUnique/>
      </w:docPartObj>
    </w:sdtPr>
    <w:sdtContent>
      <w:p w:rsidR="005D05BB" w:rsidRDefault="00CF607E">
        <w:pPr>
          <w:pStyle w:val="Footer"/>
          <w:jc w:val="center"/>
        </w:pPr>
        <w:r>
          <w:t>`</w:t>
        </w:r>
        <w:r w:rsidR="00334EE9" w:rsidRPr="005D05BB">
          <w:rPr>
            <w:rFonts w:asciiTheme="majorBidi" w:hAnsiTheme="majorBidi" w:cstheme="majorBidi"/>
            <w:b/>
            <w:bCs/>
            <w:sz w:val="24"/>
            <w:szCs w:val="24"/>
          </w:rPr>
          <w:fldChar w:fldCharType="begin"/>
        </w:r>
        <w:r w:rsidR="005D05BB" w:rsidRPr="005D05BB">
          <w:rPr>
            <w:rFonts w:asciiTheme="majorBidi" w:hAnsiTheme="majorBidi" w:cstheme="majorBidi"/>
            <w:b/>
            <w:bCs/>
            <w:sz w:val="24"/>
            <w:szCs w:val="24"/>
          </w:rPr>
          <w:instrText xml:space="preserve"> PAGE   \* MERGEFORMAT </w:instrText>
        </w:r>
        <w:r w:rsidR="00334EE9" w:rsidRPr="005D05BB">
          <w:rPr>
            <w:rFonts w:asciiTheme="majorBidi" w:hAnsiTheme="majorBidi" w:cstheme="majorBidi"/>
            <w:b/>
            <w:bCs/>
            <w:sz w:val="24"/>
            <w:szCs w:val="24"/>
          </w:rPr>
          <w:fldChar w:fldCharType="separate"/>
        </w:r>
        <w:r w:rsidR="00914994">
          <w:rPr>
            <w:rFonts w:asciiTheme="majorBidi" w:hAnsiTheme="majorBidi" w:cstheme="majorBidi"/>
            <w:b/>
            <w:bCs/>
            <w:noProof/>
            <w:sz w:val="24"/>
            <w:szCs w:val="24"/>
          </w:rPr>
          <w:t>428</w:t>
        </w:r>
        <w:r w:rsidR="00334EE9" w:rsidRPr="005D05BB">
          <w:rPr>
            <w:rFonts w:asciiTheme="majorBidi" w:hAnsiTheme="majorBidi" w:cstheme="majorBidi"/>
            <w:b/>
            <w:bCs/>
            <w:sz w:val="24"/>
            <w:szCs w:val="24"/>
          </w:rPr>
          <w:fldChar w:fldCharType="end"/>
        </w:r>
      </w:p>
    </w:sdtContent>
  </w:sdt>
  <w:p w:rsidR="005D05BB" w:rsidRDefault="005D05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37F" w:rsidRDefault="0082537F" w:rsidP="004412FB">
      <w:pPr>
        <w:spacing w:after="0" w:line="240" w:lineRule="auto"/>
      </w:pPr>
      <w:r>
        <w:separator/>
      </w:r>
    </w:p>
  </w:footnote>
  <w:footnote w:type="continuationSeparator" w:id="1">
    <w:p w:rsidR="0082537F" w:rsidRDefault="0082537F" w:rsidP="00441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BB" w:rsidRPr="00EC0B28" w:rsidRDefault="005D05BB" w:rsidP="005D05BB">
    <w:pPr>
      <w:spacing w:after="0" w:line="240" w:lineRule="auto"/>
      <w:jc w:val="both"/>
      <w:rPr>
        <w:rFonts w:asciiTheme="majorBidi" w:hAnsiTheme="majorBidi" w:cstheme="majorBidi"/>
        <w:b/>
        <w:bCs/>
        <w:color w:val="000000"/>
        <w:sz w:val="20"/>
        <w:szCs w:val="20"/>
      </w:rPr>
    </w:pPr>
    <w:r w:rsidRPr="00132DBB">
      <w:rPr>
        <w:rFonts w:ascii="Times New Roman" w:hAnsi="Times New Roman" w:cs="Times New Roman"/>
        <w:b/>
        <w:bCs/>
        <w:sz w:val="20"/>
        <w:szCs w:val="20"/>
      </w:rPr>
      <w:t>SOHAG MEDICAL JOURNAL</w:t>
    </w:r>
    <w:r>
      <w:rPr>
        <w:rFonts w:ascii="Times New Roman" w:hAnsi="Times New Roman" w:cs="Times New Roman"/>
        <w:b/>
        <w:bCs/>
        <w:i/>
        <w:iCs/>
        <w:color w:val="000000"/>
        <w:sz w:val="32"/>
        <w:szCs w:val="32"/>
      </w:rPr>
      <w:t xml:space="preserve">      </w:t>
    </w:r>
    <w:r w:rsidRPr="001951F1">
      <w:rPr>
        <w:rFonts w:ascii="Times New Roman" w:hAnsi="Times New Roman" w:cs="Times New Roman"/>
        <w:b/>
        <w:bCs/>
        <w:i/>
        <w:iCs/>
        <w:color w:val="000000"/>
        <w:sz w:val="32"/>
        <w:szCs w:val="32"/>
      </w:rPr>
      <w:t xml:space="preserve"> </w:t>
    </w:r>
    <w:r w:rsidRPr="00EC0B28">
      <w:rPr>
        <w:rFonts w:asciiTheme="majorBidi" w:eastAsia="Times New Roman" w:hAnsiTheme="majorBidi" w:cstheme="majorBidi"/>
        <w:b/>
        <w:bCs/>
        <w:color w:val="000000"/>
        <w:sz w:val="20"/>
        <w:szCs w:val="20"/>
      </w:rPr>
      <w:t>Philadelphia Chromosome</w:t>
    </w:r>
    <w:r w:rsidRPr="00EC0B28">
      <w:rPr>
        <w:rFonts w:ascii="Times New Roman" w:eastAsia="Calibri" w:hAnsi="Times New Roman" w:cs="Times New Roman"/>
        <w:b/>
        <w:bCs/>
        <w:color w:val="000000"/>
        <w:sz w:val="20"/>
        <w:szCs w:val="20"/>
      </w:rPr>
      <w:t xml:space="preserve"> In Acute Lymphoblastic Leukemia </w:t>
    </w:r>
  </w:p>
  <w:p w:rsidR="005D05BB" w:rsidRPr="005D05BB" w:rsidRDefault="005D05BB" w:rsidP="005D05BB">
    <w:pPr>
      <w:pBdr>
        <w:bottom w:val="double" w:sz="6" w:space="1" w:color="auto"/>
      </w:pBdr>
      <w:shd w:val="clear" w:color="auto" w:fill="FFFFFF"/>
      <w:tabs>
        <w:tab w:val="right" w:pos="5812"/>
        <w:tab w:val="right" w:pos="6237"/>
        <w:tab w:val="right" w:pos="6521"/>
        <w:tab w:val="right" w:pos="6946"/>
        <w:tab w:val="right" w:pos="7230"/>
        <w:tab w:val="right" w:pos="8364"/>
      </w:tabs>
      <w:spacing w:after="0" w:line="240" w:lineRule="auto"/>
      <w:jc w:val="both"/>
      <w:rPr>
        <w:rFonts w:ascii="Times New Roman" w:hAnsi="Times New Roman" w:cs="Times New Roman"/>
        <w:b/>
        <w:bCs/>
        <w:sz w:val="20"/>
        <w:szCs w:val="20"/>
        <w:lang w:bidi="ar-EG"/>
      </w:rPr>
    </w:pPr>
    <w:r w:rsidRPr="00132DBB">
      <w:rPr>
        <w:rFonts w:ascii="Times New Roman" w:hAnsi="Times New Roman" w:cs="Times New Roman"/>
        <w:b/>
        <w:bCs/>
        <w:sz w:val="20"/>
        <w:szCs w:val="20"/>
      </w:rPr>
      <w:t>Vol. 2</w:t>
    </w:r>
    <w:r>
      <w:rPr>
        <w:rFonts w:ascii="Times New Roman" w:hAnsi="Times New Roman" w:cs="Times New Roman"/>
        <w:b/>
        <w:bCs/>
        <w:sz w:val="20"/>
        <w:szCs w:val="20"/>
      </w:rPr>
      <w:t>1</w:t>
    </w:r>
    <w:r w:rsidRPr="00132DBB">
      <w:rPr>
        <w:rFonts w:ascii="Times New Roman" w:hAnsi="Times New Roman" w:cs="Times New Roman"/>
        <w:b/>
        <w:bCs/>
        <w:sz w:val="20"/>
        <w:szCs w:val="20"/>
      </w:rPr>
      <w:t xml:space="preserve"> No.</w:t>
    </w:r>
    <w:r>
      <w:rPr>
        <w:rFonts w:ascii="Times New Roman" w:hAnsi="Times New Roman" w:cs="Times New Roman"/>
        <w:b/>
        <w:bCs/>
        <w:sz w:val="20"/>
        <w:szCs w:val="20"/>
      </w:rPr>
      <w:t>3</w:t>
    </w:r>
    <w:r w:rsidRPr="00132DBB">
      <w:rPr>
        <w:rFonts w:ascii="Times New Roman" w:hAnsi="Times New Roman" w:cs="Times New Roman"/>
        <w:b/>
        <w:bCs/>
        <w:sz w:val="20"/>
        <w:szCs w:val="20"/>
      </w:rPr>
      <w:t xml:space="preserve"> </w:t>
    </w:r>
    <w:r w:rsidRPr="008348F5">
      <w:rPr>
        <w:rFonts w:ascii="Times New Roman" w:hAnsi="Times New Roman" w:cs="Times New Roman"/>
        <w:b/>
        <w:bCs/>
      </w:rPr>
      <w:t>october</w:t>
    </w:r>
    <w:r w:rsidRPr="00132DBB">
      <w:rPr>
        <w:rFonts w:ascii="Times New Roman" w:hAnsi="Times New Roman" w:cs="Times New Roman"/>
        <w:b/>
        <w:bCs/>
        <w:sz w:val="20"/>
        <w:szCs w:val="20"/>
      </w:rPr>
      <w:t xml:space="preserve">  201</w:t>
    </w:r>
    <w:r>
      <w:rPr>
        <w:rFonts w:ascii="Times New Roman" w:hAnsi="Times New Roman" w:cs="Times New Roman"/>
        <w:b/>
        <w:bCs/>
        <w:sz w:val="20"/>
        <w:szCs w:val="20"/>
      </w:rPr>
      <w:t>7</w:t>
    </w:r>
    <w:r>
      <w:rPr>
        <w:b/>
        <w:bCs/>
        <w:sz w:val="24"/>
        <w:szCs w:val="24"/>
      </w:rPr>
      <w:t xml:space="preserve">          </w:t>
    </w:r>
    <w:r>
      <w:rPr>
        <w:rFonts w:asciiTheme="majorBidi" w:hAnsiTheme="majorBidi" w:cstheme="majorBidi"/>
        <w:b/>
        <w:bCs/>
        <w:i/>
        <w:iCs/>
        <w:sz w:val="24"/>
        <w:szCs w:val="24"/>
      </w:rPr>
      <w:t xml:space="preserve">                                   </w:t>
    </w:r>
    <w:r w:rsidRPr="003465E3">
      <w:rPr>
        <w:rFonts w:asciiTheme="majorBidi" w:eastAsia="Calibri" w:hAnsiTheme="majorBidi" w:cstheme="majorBidi"/>
        <w:b/>
        <w:bCs/>
        <w:i/>
        <w:iCs/>
        <w:sz w:val="20"/>
        <w:szCs w:val="20"/>
        <w:lang w:bidi="ar-EG"/>
      </w:rPr>
      <w:t>Nesma Mokhtar</w:t>
    </w:r>
    <w:r w:rsidRPr="003465E3">
      <w:rPr>
        <w:rFonts w:ascii="Times New Roman" w:hAnsi="Times New Roman" w:cs="Times New Roman"/>
        <w:b/>
        <w:bCs/>
        <w:sz w:val="20"/>
        <w:szCs w:val="20"/>
        <w:lang w:bidi="ar-EG"/>
      </w:rPr>
      <w:t>.et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BB" w:rsidRPr="00132DBB" w:rsidRDefault="005D05BB" w:rsidP="005D05BB">
    <w:pPr>
      <w:shd w:val="clear" w:color="auto" w:fill="FFFFFF"/>
      <w:tabs>
        <w:tab w:val="right" w:pos="8364"/>
      </w:tabs>
      <w:spacing w:after="0" w:line="240" w:lineRule="auto"/>
      <w:jc w:val="center"/>
      <w:rPr>
        <w:rFonts w:ascii="Times New Roman" w:hAnsi="Times New Roman" w:cs="Times New Roman"/>
        <w:b/>
        <w:bCs/>
        <w:sz w:val="20"/>
        <w:szCs w:val="20"/>
        <w:rtl/>
        <w:lang w:bidi="ar-EG"/>
      </w:rPr>
    </w:pPr>
    <w:r w:rsidRPr="00132DBB">
      <w:rPr>
        <w:rFonts w:ascii="Times New Roman" w:hAnsi="Times New Roman" w:cs="Times New Roman"/>
        <w:b/>
        <w:bCs/>
        <w:sz w:val="20"/>
        <w:szCs w:val="20"/>
      </w:rPr>
      <w:t>SOHAG MEDICAL JOURNAL</w:t>
    </w:r>
  </w:p>
  <w:p w:rsidR="005D05BB" w:rsidRPr="005D05BB" w:rsidRDefault="005D05BB" w:rsidP="005D05BB">
    <w:pPr>
      <w:pBdr>
        <w:bottom w:val="double" w:sz="6" w:space="1" w:color="auto"/>
      </w:pBdr>
      <w:shd w:val="clear" w:color="auto" w:fill="FFFFFF"/>
      <w:tabs>
        <w:tab w:val="right" w:pos="5812"/>
        <w:tab w:val="right" w:pos="6237"/>
        <w:tab w:val="right" w:pos="6521"/>
        <w:tab w:val="right" w:pos="6946"/>
        <w:tab w:val="right" w:pos="7230"/>
        <w:tab w:val="right" w:pos="8364"/>
      </w:tabs>
      <w:spacing w:after="0" w:line="240" w:lineRule="auto"/>
      <w:jc w:val="center"/>
      <w:rPr>
        <w:rFonts w:ascii="Times New Roman" w:hAnsi="Times New Roman" w:cs="Times New Roman"/>
        <w:b/>
        <w:bCs/>
        <w:sz w:val="20"/>
        <w:szCs w:val="20"/>
        <w:lang w:bidi="ar-EG"/>
      </w:rPr>
    </w:pPr>
    <w:r w:rsidRPr="00132DBB">
      <w:rPr>
        <w:rFonts w:ascii="Times New Roman" w:hAnsi="Times New Roman" w:cs="Times New Roman"/>
        <w:b/>
        <w:bCs/>
        <w:sz w:val="20"/>
        <w:szCs w:val="20"/>
      </w:rPr>
      <w:t>Vol. 2</w:t>
    </w:r>
    <w:r>
      <w:rPr>
        <w:rFonts w:ascii="Times New Roman" w:hAnsi="Times New Roman" w:cs="Times New Roman"/>
        <w:b/>
        <w:bCs/>
        <w:sz w:val="20"/>
        <w:szCs w:val="20"/>
      </w:rPr>
      <w:t>1</w:t>
    </w:r>
    <w:r w:rsidRPr="00132DBB">
      <w:rPr>
        <w:rFonts w:ascii="Times New Roman" w:hAnsi="Times New Roman" w:cs="Times New Roman"/>
        <w:b/>
        <w:bCs/>
        <w:sz w:val="20"/>
        <w:szCs w:val="20"/>
      </w:rPr>
      <w:t xml:space="preserve"> No.</w:t>
    </w:r>
    <w:r>
      <w:rPr>
        <w:rFonts w:ascii="Times New Roman" w:hAnsi="Times New Roman" w:cs="Times New Roman"/>
        <w:b/>
        <w:bCs/>
        <w:sz w:val="20"/>
        <w:szCs w:val="20"/>
      </w:rPr>
      <w:t>3</w:t>
    </w:r>
    <w:r w:rsidRPr="00132DBB">
      <w:rPr>
        <w:rFonts w:ascii="Times New Roman" w:hAnsi="Times New Roman" w:cs="Times New Roman"/>
        <w:b/>
        <w:bCs/>
        <w:sz w:val="20"/>
        <w:szCs w:val="20"/>
      </w:rPr>
      <w:t xml:space="preserve"> </w:t>
    </w:r>
    <w:r w:rsidRPr="008348F5">
      <w:rPr>
        <w:rFonts w:ascii="Times New Roman" w:hAnsi="Times New Roman" w:cs="Times New Roman"/>
        <w:b/>
        <w:bCs/>
      </w:rPr>
      <w:t>october</w:t>
    </w:r>
    <w:r w:rsidRPr="00132DBB">
      <w:rPr>
        <w:rFonts w:ascii="Times New Roman" w:hAnsi="Times New Roman" w:cs="Times New Roman"/>
        <w:b/>
        <w:bCs/>
        <w:sz w:val="20"/>
        <w:szCs w:val="20"/>
      </w:rPr>
      <w:t xml:space="preserve">  201</w:t>
    </w:r>
    <w:r>
      <w:rPr>
        <w:rFonts w:ascii="Times New Roman" w:hAnsi="Times New Roman" w:cs="Times New Roman"/>
        <w:b/>
        <w:bCs/>
        <w:sz w:val="20"/>
        <w:szCs w:val="2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3C31"/>
    <w:multiLevelType w:val="hybridMultilevel"/>
    <w:tmpl w:val="7D5CD2D6"/>
    <w:lvl w:ilvl="0" w:tplc="0409000F">
      <w:start w:val="1"/>
      <w:numFmt w:val="decimal"/>
      <w:lvlText w:val="%1."/>
      <w:lvlJc w:val="left"/>
      <w:pPr>
        <w:tabs>
          <w:tab w:val="num" w:pos="720"/>
        </w:tabs>
        <w:ind w:left="720" w:hanging="360"/>
      </w:pPr>
      <w:rPr>
        <w:rFonts w:hint="default"/>
      </w:rPr>
    </w:lvl>
    <w:lvl w:ilvl="1" w:tplc="20FCA7D6">
      <w:start w:val="1"/>
      <w:numFmt w:val="bullet"/>
      <w:lvlText w:val=""/>
      <w:lvlJc w:val="left"/>
      <w:pPr>
        <w:tabs>
          <w:tab w:val="num" w:pos="1440"/>
        </w:tabs>
        <w:ind w:left="1440" w:hanging="360"/>
      </w:pPr>
      <w:rPr>
        <w:rFonts w:ascii="Webdings" w:hAnsi="Webdings" w:hint="default"/>
      </w:rPr>
    </w:lvl>
    <w:lvl w:ilvl="2" w:tplc="E9AACB3A">
      <w:start w:val="1"/>
      <w:numFmt w:val="upperLetter"/>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4E2BC9"/>
    <w:multiLevelType w:val="hybridMultilevel"/>
    <w:tmpl w:val="5638F9C6"/>
    <w:lvl w:ilvl="0" w:tplc="6CA8068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92302FE"/>
    <w:multiLevelType w:val="hybridMultilevel"/>
    <w:tmpl w:val="A7D08898"/>
    <w:lvl w:ilvl="0" w:tplc="2814078A">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61FB"/>
    <w:rsid w:val="00002196"/>
    <w:rsid w:val="000049D3"/>
    <w:rsid w:val="0001569A"/>
    <w:rsid w:val="000156D4"/>
    <w:rsid w:val="0003348D"/>
    <w:rsid w:val="00073706"/>
    <w:rsid w:val="000B27A8"/>
    <w:rsid w:val="000D31D3"/>
    <w:rsid w:val="000E477A"/>
    <w:rsid w:val="00114498"/>
    <w:rsid w:val="00135755"/>
    <w:rsid w:val="00137F8B"/>
    <w:rsid w:val="00142123"/>
    <w:rsid w:val="00145485"/>
    <w:rsid w:val="0015274C"/>
    <w:rsid w:val="00161FBB"/>
    <w:rsid w:val="00181865"/>
    <w:rsid w:val="001A0497"/>
    <w:rsid w:val="001E3215"/>
    <w:rsid w:val="001F4EF8"/>
    <w:rsid w:val="00224A51"/>
    <w:rsid w:val="002469E4"/>
    <w:rsid w:val="002766D9"/>
    <w:rsid w:val="002802EC"/>
    <w:rsid w:val="002A7D42"/>
    <w:rsid w:val="002B4BD6"/>
    <w:rsid w:val="002D0ADC"/>
    <w:rsid w:val="002F10F5"/>
    <w:rsid w:val="0031473B"/>
    <w:rsid w:val="00333E57"/>
    <w:rsid w:val="00334EE9"/>
    <w:rsid w:val="00335582"/>
    <w:rsid w:val="00353E9D"/>
    <w:rsid w:val="003550C7"/>
    <w:rsid w:val="0035677F"/>
    <w:rsid w:val="00363E28"/>
    <w:rsid w:val="00365321"/>
    <w:rsid w:val="003806AA"/>
    <w:rsid w:val="0038428A"/>
    <w:rsid w:val="003A3EC0"/>
    <w:rsid w:val="003E7AA8"/>
    <w:rsid w:val="00401F17"/>
    <w:rsid w:val="004077DD"/>
    <w:rsid w:val="00427F24"/>
    <w:rsid w:val="00432B51"/>
    <w:rsid w:val="00436D5F"/>
    <w:rsid w:val="004412FB"/>
    <w:rsid w:val="0045691D"/>
    <w:rsid w:val="004724BE"/>
    <w:rsid w:val="004D4E9A"/>
    <w:rsid w:val="00503840"/>
    <w:rsid w:val="005054CB"/>
    <w:rsid w:val="00550A6D"/>
    <w:rsid w:val="005647A9"/>
    <w:rsid w:val="00566864"/>
    <w:rsid w:val="00566F25"/>
    <w:rsid w:val="0059710B"/>
    <w:rsid w:val="005D05BB"/>
    <w:rsid w:val="005D3693"/>
    <w:rsid w:val="005E1D27"/>
    <w:rsid w:val="005E2D4C"/>
    <w:rsid w:val="00602F0B"/>
    <w:rsid w:val="0064289C"/>
    <w:rsid w:val="00667C1F"/>
    <w:rsid w:val="006959B3"/>
    <w:rsid w:val="006C0954"/>
    <w:rsid w:val="006D0523"/>
    <w:rsid w:val="006D08B9"/>
    <w:rsid w:val="006D0D0D"/>
    <w:rsid w:val="006E3AFC"/>
    <w:rsid w:val="006E708E"/>
    <w:rsid w:val="007100EB"/>
    <w:rsid w:val="00721964"/>
    <w:rsid w:val="00721995"/>
    <w:rsid w:val="00733367"/>
    <w:rsid w:val="00761316"/>
    <w:rsid w:val="00767F6E"/>
    <w:rsid w:val="007A2B51"/>
    <w:rsid w:val="007A64B2"/>
    <w:rsid w:val="007D7777"/>
    <w:rsid w:val="007E32BE"/>
    <w:rsid w:val="00823D17"/>
    <w:rsid w:val="0082537F"/>
    <w:rsid w:val="0083700C"/>
    <w:rsid w:val="00861B41"/>
    <w:rsid w:val="00877735"/>
    <w:rsid w:val="00891B3F"/>
    <w:rsid w:val="008A5EF5"/>
    <w:rsid w:val="008A6C29"/>
    <w:rsid w:val="008C2F15"/>
    <w:rsid w:val="008C509D"/>
    <w:rsid w:val="008C5D5F"/>
    <w:rsid w:val="008C6241"/>
    <w:rsid w:val="008D6053"/>
    <w:rsid w:val="00901F7A"/>
    <w:rsid w:val="00914994"/>
    <w:rsid w:val="00916F01"/>
    <w:rsid w:val="00920896"/>
    <w:rsid w:val="00927005"/>
    <w:rsid w:val="00942590"/>
    <w:rsid w:val="0094305C"/>
    <w:rsid w:val="009E0768"/>
    <w:rsid w:val="009E51AF"/>
    <w:rsid w:val="00A02CA4"/>
    <w:rsid w:val="00A06C73"/>
    <w:rsid w:val="00A11ACF"/>
    <w:rsid w:val="00A40010"/>
    <w:rsid w:val="00A433C6"/>
    <w:rsid w:val="00A4517C"/>
    <w:rsid w:val="00A810DE"/>
    <w:rsid w:val="00A9439A"/>
    <w:rsid w:val="00AB4D1F"/>
    <w:rsid w:val="00AC02AA"/>
    <w:rsid w:val="00AC6633"/>
    <w:rsid w:val="00B32FBD"/>
    <w:rsid w:val="00B355AC"/>
    <w:rsid w:val="00B40395"/>
    <w:rsid w:val="00B47FBF"/>
    <w:rsid w:val="00B966BF"/>
    <w:rsid w:val="00BB49AF"/>
    <w:rsid w:val="00BB7D99"/>
    <w:rsid w:val="00BD319F"/>
    <w:rsid w:val="00BD6745"/>
    <w:rsid w:val="00BE442F"/>
    <w:rsid w:val="00BF45D8"/>
    <w:rsid w:val="00C01EEE"/>
    <w:rsid w:val="00C216D8"/>
    <w:rsid w:val="00C40042"/>
    <w:rsid w:val="00C46433"/>
    <w:rsid w:val="00C55EC2"/>
    <w:rsid w:val="00C6001B"/>
    <w:rsid w:val="00C617FD"/>
    <w:rsid w:val="00C7551D"/>
    <w:rsid w:val="00C84863"/>
    <w:rsid w:val="00CA11CB"/>
    <w:rsid w:val="00CA17DA"/>
    <w:rsid w:val="00CB55B7"/>
    <w:rsid w:val="00CD1F32"/>
    <w:rsid w:val="00CF607E"/>
    <w:rsid w:val="00D07A7C"/>
    <w:rsid w:val="00D103C6"/>
    <w:rsid w:val="00D249FC"/>
    <w:rsid w:val="00DA7B07"/>
    <w:rsid w:val="00DB44E7"/>
    <w:rsid w:val="00DB6DDC"/>
    <w:rsid w:val="00DC6024"/>
    <w:rsid w:val="00DE5EAF"/>
    <w:rsid w:val="00E005BF"/>
    <w:rsid w:val="00E025A3"/>
    <w:rsid w:val="00E14821"/>
    <w:rsid w:val="00E208A2"/>
    <w:rsid w:val="00E24ECD"/>
    <w:rsid w:val="00E47939"/>
    <w:rsid w:val="00E52884"/>
    <w:rsid w:val="00E56E2B"/>
    <w:rsid w:val="00E661FB"/>
    <w:rsid w:val="00E831FE"/>
    <w:rsid w:val="00EB149E"/>
    <w:rsid w:val="00EB2DA1"/>
    <w:rsid w:val="00EB5E35"/>
    <w:rsid w:val="00F10E43"/>
    <w:rsid w:val="00F207A5"/>
    <w:rsid w:val="00F82DBA"/>
    <w:rsid w:val="00FB5D78"/>
    <w:rsid w:val="00FC5802"/>
    <w:rsid w:val="00FF31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5BF"/>
    <w:pPr>
      <w:ind w:left="720"/>
      <w:contextualSpacing/>
    </w:pPr>
    <w:rPr>
      <w:rFonts w:ascii="Calibri" w:eastAsia="Calibri" w:hAnsi="Calibri" w:cs="Arial"/>
    </w:rPr>
  </w:style>
  <w:style w:type="paragraph" w:styleId="BodyText">
    <w:name w:val="Body Text"/>
    <w:basedOn w:val="Normal"/>
    <w:link w:val="BodyTextChar"/>
    <w:rsid w:val="006E3AFC"/>
    <w:pPr>
      <w:spacing w:after="0" w:line="360" w:lineRule="auto"/>
      <w:jc w:val="lowKashida"/>
    </w:pPr>
    <w:rPr>
      <w:rFonts w:ascii="Times New Roman" w:eastAsia="Times New Roman" w:hAnsi="Times New Roman" w:cs="Traditional Arabic"/>
      <w:sz w:val="28"/>
      <w:szCs w:val="24"/>
    </w:rPr>
  </w:style>
  <w:style w:type="character" w:customStyle="1" w:styleId="BodyTextChar">
    <w:name w:val="Body Text Char"/>
    <w:basedOn w:val="DefaultParagraphFont"/>
    <w:link w:val="BodyText"/>
    <w:rsid w:val="006E3AFC"/>
    <w:rPr>
      <w:rFonts w:ascii="Times New Roman" w:eastAsia="Times New Roman" w:hAnsi="Times New Roman" w:cs="Traditional Arabic"/>
      <w:sz w:val="28"/>
      <w:szCs w:val="24"/>
    </w:rPr>
  </w:style>
  <w:style w:type="table" w:styleId="TableGrid">
    <w:name w:val="Table Grid"/>
    <w:basedOn w:val="TableNormal"/>
    <w:uiPriority w:val="59"/>
    <w:rsid w:val="006E3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54"/>
    <w:rPr>
      <w:rFonts w:ascii="Tahoma" w:hAnsi="Tahoma" w:cs="Tahoma"/>
      <w:sz w:val="16"/>
      <w:szCs w:val="16"/>
    </w:rPr>
  </w:style>
  <w:style w:type="character" w:styleId="Hyperlink">
    <w:name w:val="Hyperlink"/>
    <w:basedOn w:val="DefaultParagraphFont"/>
    <w:semiHidden/>
    <w:unhideWhenUsed/>
    <w:rsid w:val="002802EC"/>
    <w:rPr>
      <w:color w:val="0000FF"/>
      <w:u w:val="single"/>
    </w:rPr>
  </w:style>
  <w:style w:type="paragraph" w:styleId="HTMLPreformatted">
    <w:name w:val="HTML Preformatted"/>
    <w:basedOn w:val="Normal"/>
    <w:link w:val="HTMLPreformattedChar"/>
    <w:uiPriority w:val="99"/>
    <w:semiHidden/>
    <w:unhideWhenUsed/>
    <w:rsid w:val="00EB2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2DA1"/>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4412F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412FB"/>
  </w:style>
  <w:style w:type="paragraph" w:styleId="Footer">
    <w:name w:val="footer"/>
    <w:basedOn w:val="Normal"/>
    <w:link w:val="FooterChar"/>
    <w:uiPriority w:val="99"/>
    <w:unhideWhenUsed/>
    <w:rsid w:val="004412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12FB"/>
  </w:style>
</w:styles>
</file>

<file path=word/webSettings.xml><?xml version="1.0" encoding="utf-8"?>
<w:webSettings xmlns:r="http://schemas.openxmlformats.org/officeDocument/2006/relationships" xmlns:w="http://schemas.openxmlformats.org/wordprocessingml/2006/main">
  <w:divs>
    <w:div w:id="166209834">
      <w:bodyDiv w:val="1"/>
      <w:marLeft w:val="0"/>
      <w:marRight w:val="0"/>
      <w:marTop w:val="0"/>
      <w:marBottom w:val="0"/>
      <w:divBdr>
        <w:top w:val="none" w:sz="0" w:space="0" w:color="auto"/>
        <w:left w:val="none" w:sz="0" w:space="0" w:color="auto"/>
        <w:bottom w:val="none" w:sz="0" w:space="0" w:color="auto"/>
        <w:right w:val="none" w:sz="0" w:space="0" w:color="auto"/>
      </w:divBdr>
    </w:div>
    <w:div w:id="213855542">
      <w:bodyDiv w:val="1"/>
      <w:marLeft w:val="0"/>
      <w:marRight w:val="0"/>
      <w:marTop w:val="0"/>
      <w:marBottom w:val="0"/>
      <w:divBdr>
        <w:top w:val="none" w:sz="0" w:space="0" w:color="auto"/>
        <w:left w:val="none" w:sz="0" w:space="0" w:color="auto"/>
        <w:bottom w:val="none" w:sz="0" w:space="0" w:color="auto"/>
        <w:right w:val="none" w:sz="0" w:space="0" w:color="auto"/>
      </w:divBdr>
    </w:div>
    <w:div w:id="693775951">
      <w:bodyDiv w:val="1"/>
      <w:marLeft w:val="0"/>
      <w:marRight w:val="0"/>
      <w:marTop w:val="0"/>
      <w:marBottom w:val="0"/>
      <w:divBdr>
        <w:top w:val="none" w:sz="0" w:space="0" w:color="auto"/>
        <w:left w:val="none" w:sz="0" w:space="0" w:color="auto"/>
        <w:bottom w:val="none" w:sz="0" w:space="0" w:color="auto"/>
        <w:right w:val="none" w:sz="0" w:space="0" w:color="auto"/>
      </w:divBdr>
    </w:div>
    <w:div w:id="823543311">
      <w:bodyDiv w:val="1"/>
      <w:marLeft w:val="0"/>
      <w:marRight w:val="0"/>
      <w:marTop w:val="0"/>
      <w:marBottom w:val="0"/>
      <w:divBdr>
        <w:top w:val="none" w:sz="0" w:space="0" w:color="auto"/>
        <w:left w:val="none" w:sz="0" w:space="0" w:color="auto"/>
        <w:bottom w:val="none" w:sz="0" w:space="0" w:color="auto"/>
        <w:right w:val="none" w:sz="0" w:space="0" w:color="auto"/>
      </w:divBdr>
    </w:div>
    <w:div w:id="882907770">
      <w:bodyDiv w:val="1"/>
      <w:marLeft w:val="0"/>
      <w:marRight w:val="0"/>
      <w:marTop w:val="0"/>
      <w:marBottom w:val="0"/>
      <w:divBdr>
        <w:top w:val="none" w:sz="0" w:space="0" w:color="auto"/>
        <w:left w:val="none" w:sz="0" w:space="0" w:color="auto"/>
        <w:bottom w:val="none" w:sz="0" w:space="0" w:color="auto"/>
        <w:right w:val="none" w:sz="0" w:space="0" w:color="auto"/>
      </w:divBdr>
    </w:div>
    <w:div w:id="1084836865">
      <w:bodyDiv w:val="1"/>
      <w:marLeft w:val="0"/>
      <w:marRight w:val="0"/>
      <w:marTop w:val="0"/>
      <w:marBottom w:val="0"/>
      <w:divBdr>
        <w:top w:val="none" w:sz="0" w:space="0" w:color="auto"/>
        <w:left w:val="none" w:sz="0" w:space="0" w:color="auto"/>
        <w:bottom w:val="none" w:sz="0" w:space="0" w:color="auto"/>
        <w:right w:val="none" w:sz="0" w:space="0" w:color="auto"/>
      </w:divBdr>
    </w:div>
    <w:div w:id="1300038400">
      <w:bodyDiv w:val="1"/>
      <w:marLeft w:val="0"/>
      <w:marRight w:val="0"/>
      <w:marTop w:val="0"/>
      <w:marBottom w:val="0"/>
      <w:divBdr>
        <w:top w:val="none" w:sz="0" w:space="0" w:color="auto"/>
        <w:left w:val="none" w:sz="0" w:space="0" w:color="auto"/>
        <w:bottom w:val="none" w:sz="0" w:space="0" w:color="auto"/>
        <w:right w:val="none" w:sz="0" w:space="0" w:color="auto"/>
      </w:divBdr>
    </w:div>
    <w:div w:id="1369136992">
      <w:bodyDiv w:val="1"/>
      <w:marLeft w:val="0"/>
      <w:marRight w:val="0"/>
      <w:marTop w:val="0"/>
      <w:marBottom w:val="0"/>
      <w:divBdr>
        <w:top w:val="none" w:sz="0" w:space="0" w:color="auto"/>
        <w:left w:val="none" w:sz="0" w:space="0" w:color="auto"/>
        <w:bottom w:val="none" w:sz="0" w:space="0" w:color="auto"/>
        <w:right w:val="none" w:sz="0" w:space="0" w:color="auto"/>
      </w:divBdr>
    </w:div>
    <w:div w:id="1402949618">
      <w:bodyDiv w:val="1"/>
      <w:marLeft w:val="0"/>
      <w:marRight w:val="0"/>
      <w:marTop w:val="0"/>
      <w:marBottom w:val="0"/>
      <w:divBdr>
        <w:top w:val="none" w:sz="0" w:space="0" w:color="auto"/>
        <w:left w:val="none" w:sz="0" w:space="0" w:color="auto"/>
        <w:bottom w:val="none" w:sz="0" w:space="0" w:color="auto"/>
        <w:right w:val="none" w:sz="0" w:space="0" w:color="auto"/>
      </w:divBdr>
    </w:div>
    <w:div w:id="1489587662">
      <w:bodyDiv w:val="1"/>
      <w:marLeft w:val="0"/>
      <w:marRight w:val="0"/>
      <w:marTop w:val="0"/>
      <w:marBottom w:val="0"/>
      <w:divBdr>
        <w:top w:val="none" w:sz="0" w:space="0" w:color="auto"/>
        <w:left w:val="none" w:sz="0" w:space="0" w:color="auto"/>
        <w:bottom w:val="none" w:sz="0" w:space="0" w:color="auto"/>
        <w:right w:val="none" w:sz="0" w:space="0" w:color="auto"/>
      </w:divBdr>
    </w:div>
    <w:div w:id="1502893018">
      <w:bodyDiv w:val="1"/>
      <w:marLeft w:val="0"/>
      <w:marRight w:val="0"/>
      <w:marTop w:val="0"/>
      <w:marBottom w:val="0"/>
      <w:divBdr>
        <w:top w:val="none" w:sz="0" w:space="0" w:color="auto"/>
        <w:left w:val="none" w:sz="0" w:space="0" w:color="auto"/>
        <w:bottom w:val="none" w:sz="0" w:space="0" w:color="auto"/>
        <w:right w:val="none" w:sz="0" w:space="0" w:color="auto"/>
      </w:divBdr>
    </w:div>
    <w:div w:id="1612862282">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898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40</cp:revision>
  <cp:lastPrinted>2018-08-30T07:39:00Z</cp:lastPrinted>
  <dcterms:created xsi:type="dcterms:W3CDTF">2017-10-21T18:59:00Z</dcterms:created>
  <dcterms:modified xsi:type="dcterms:W3CDTF">2018-08-30T07:40:00Z</dcterms:modified>
</cp:coreProperties>
</file>